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32" w:rsidRPr="000C702E" w:rsidRDefault="00AB42D6">
      <w:pPr>
        <w:pStyle w:val="BodyText"/>
        <w:jc w:val="both"/>
        <w:rPr>
          <w:rFonts w:ascii="Calibri" w:hAnsi="Calibri" w:cs="Calibri"/>
          <w:szCs w:val="24"/>
        </w:rPr>
      </w:pPr>
      <w:r w:rsidRPr="00AB42D6">
        <w:rPr>
          <w:rFonts w:asciiTheme="minorHAnsi" w:hAnsiTheme="minorHAnsi" w:cstheme="minorHAnsi"/>
          <w:color w:val="222222"/>
          <w:shd w:val="clear" w:color="auto" w:fill="FFFFFF"/>
        </w:rPr>
        <w:t>Na temelju članka 109. Zakona o prostornom uređenju ("Narodne novine" broj 153/13, 65/17)</w:t>
      </w:r>
      <w:r w:rsidR="00960987">
        <w:rPr>
          <w:rFonts w:asciiTheme="minorHAnsi" w:hAnsiTheme="minorHAnsi" w:cstheme="minorHAnsi"/>
          <w:szCs w:val="24"/>
        </w:rPr>
        <w:t>i</w:t>
      </w:r>
      <w:r w:rsidR="00960987">
        <w:rPr>
          <w:rFonts w:ascii="Calibri" w:hAnsi="Calibri" w:cs="Calibri"/>
          <w:szCs w:val="24"/>
        </w:rPr>
        <w:t xml:space="preserve">  članka 32. </w:t>
      </w:r>
      <w:r w:rsidR="00315132" w:rsidRPr="000C702E">
        <w:rPr>
          <w:rFonts w:ascii="Calibri" w:hAnsi="Calibri" w:cs="Calibri"/>
          <w:szCs w:val="24"/>
        </w:rPr>
        <w:t xml:space="preserve"> Statuta Općine Sutivan (“Službeni g</w:t>
      </w:r>
      <w:r w:rsidR="00960987">
        <w:rPr>
          <w:rFonts w:ascii="Calibri" w:hAnsi="Calibri" w:cs="Calibri"/>
          <w:szCs w:val="24"/>
        </w:rPr>
        <w:t>lasnik Općine Sutivan” broj 7/13, 2/14, 6/14, 5/18</w:t>
      </w:r>
      <w:r w:rsidR="00315132" w:rsidRPr="000C702E">
        <w:rPr>
          <w:rFonts w:ascii="Calibri" w:hAnsi="Calibri" w:cs="Calibri"/>
          <w:szCs w:val="24"/>
        </w:rPr>
        <w:t>)</w:t>
      </w:r>
      <w:r w:rsidR="00960987">
        <w:rPr>
          <w:rFonts w:ascii="Calibri" w:hAnsi="Calibri" w:cs="Calibri"/>
          <w:szCs w:val="24"/>
        </w:rPr>
        <w:t xml:space="preserve">, </w:t>
      </w:r>
      <w:r w:rsidR="00315132" w:rsidRPr="000C702E">
        <w:rPr>
          <w:rFonts w:ascii="Calibri" w:hAnsi="Calibri" w:cs="Calibri"/>
          <w:szCs w:val="24"/>
        </w:rPr>
        <w:t>Općinsko</w:t>
      </w:r>
      <w:r w:rsidR="00960987">
        <w:rPr>
          <w:rFonts w:ascii="Calibri" w:hAnsi="Calibri" w:cs="Calibri"/>
          <w:szCs w:val="24"/>
        </w:rPr>
        <w:t xml:space="preserve"> vijeće Općine Sutivan na 23. </w:t>
      </w:r>
      <w:r w:rsidR="00315132" w:rsidRPr="000C702E">
        <w:rPr>
          <w:rFonts w:ascii="Calibri" w:hAnsi="Calibri" w:cs="Calibri"/>
          <w:szCs w:val="24"/>
        </w:rPr>
        <w:t>sjedni</w:t>
      </w:r>
      <w:r w:rsidR="00960987">
        <w:rPr>
          <w:rFonts w:ascii="Calibri" w:hAnsi="Calibri" w:cs="Calibri"/>
          <w:szCs w:val="24"/>
        </w:rPr>
        <w:t>ci održanoj dana 17. ožujka 2020</w:t>
      </w:r>
      <w:r w:rsidR="00315132" w:rsidRPr="000C702E">
        <w:rPr>
          <w:rFonts w:ascii="Calibri" w:hAnsi="Calibri" w:cs="Calibri"/>
          <w:szCs w:val="24"/>
        </w:rPr>
        <w:t xml:space="preserve">. godine donijelo je </w:t>
      </w:r>
    </w:p>
    <w:p w:rsidR="00315132" w:rsidRPr="000C702E" w:rsidRDefault="00315132">
      <w:pPr>
        <w:pStyle w:val="BodyText"/>
        <w:spacing w:line="360" w:lineRule="auto"/>
        <w:jc w:val="center"/>
        <w:rPr>
          <w:rFonts w:ascii="Calibri" w:hAnsi="Calibri" w:cs="Calibri"/>
          <w:b/>
          <w:szCs w:val="24"/>
        </w:rPr>
      </w:pPr>
      <w:r w:rsidRPr="000C702E">
        <w:rPr>
          <w:rFonts w:ascii="Calibri" w:hAnsi="Calibri" w:cs="Calibri"/>
          <w:b/>
          <w:szCs w:val="24"/>
        </w:rPr>
        <w:t>ODLUKU</w:t>
      </w:r>
    </w:p>
    <w:p w:rsidR="00315132" w:rsidRDefault="00315132">
      <w:pPr>
        <w:pStyle w:val="janja"/>
        <w:spacing w:before="120"/>
        <w:jc w:val="center"/>
        <w:rPr>
          <w:rFonts w:ascii="Calibri" w:hAnsi="Calibri" w:cs="Calibri"/>
          <w:b/>
          <w:sz w:val="24"/>
          <w:szCs w:val="24"/>
        </w:rPr>
      </w:pPr>
      <w:r w:rsidRPr="004C2F49">
        <w:rPr>
          <w:rFonts w:ascii="Calibri" w:hAnsi="Calibri" w:cs="Calibri"/>
          <w:b/>
          <w:sz w:val="24"/>
          <w:szCs w:val="24"/>
        </w:rPr>
        <w:t xml:space="preserve">O DONOŠENJU </w:t>
      </w:r>
      <w:r w:rsidR="00BA7B12" w:rsidRPr="004C2F49">
        <w:rPr>
          <w:rFonts w:ascii="Calibri" w:hAnsi="Calibri" w:cs="Calibri"/>
          <w:b/>
          <w:sz w:val="24"/>
          <w:szCs w:val="24"/>
        </w:rPr>
        <w:t xml:space="preserve">IZMJENA I DOPUNA </w:t>
      </w:r>
      <w:r w:rsidRPr="004C2F49">
        <w:rPr>
          <w:rFonts w:ascii="Calibri" w:hAnsi="Calibri" w:cs="Calibri"/>
          <w:b/>
          <w:sz w:val="24"/>
          <w:szCs w:val="24"/>
        </w:rPr>
        <w:t xml:space="preserve">URBANISTIČKOG PLANA UREĐENJA </w:t>
      </w:r>
      <w:r w:rsidRPr="004C2F49">
        <w:rPr>
          <w:rFonts w:ascii="Calibri" w:hAnsi="Calibri" w:cs="Calibri"/>
          <w:b/>
          <w:sz w:val="24"/>
          <w:szCs w:val="24"/>
        </w:rPr>
        <w:br/>
        <w:t>SUTIVAN ISTOK</w:t>
      </w:r>
    </w:p>
    <w:p w:rsidR="004C2F49" w:rsidRDefault="004C2F49">
      <w:pPr>
        <w:pStyle w:val="janja"/>
        <w:spacing w:before="120"/>
        <w:jc w:val="center"/>
        <w:rPr>
          <w:rFonts w:ascii="Calibri" w:hAnsi="Calibri" w:cs="Calibri"/>
          <w:b/>
          <w:sz w:val="24"/>
          <w:szCs w:val="24"/>
        </w:rPr>
      </w:pPr>
    </w:p>
    <w:p w:rsidR="004C2F49" w:rsidRPr="004C2F49" w:rsidRDefault="004C2F49" w:rsidP="004C2F49">
      <w:pPr>
        <w:pStyle w:val="janja"/>
        <w:numPr>
          <w:ilvl w:val="0"/>
          <w:numId w:val="35"/>
        </w:numPr>
        <w:spacing w:before="120"/>
        <w:rPr>
          <w:rFonts w:ascii="Calibri" w:hAnsi="Calibri" w:cs="Calibri"/>
          <w:b/>
          <w:sz w:val="24"/>
          <w:szCs w:val="24"/>
        </w:rPr>
      </w:pPr>
      <w:r w:rsidRPr="004C2F49">
        <w:rPr>
          <w:rFonts w:ascii="Calibri" w:hAnsi="Calibri" w:cs="Calibri"/>
          <w:b/>
          <w:sz w:val="24"/>
          <w:szCs w:val="24"/>
        </w:rPr>
        <w:t>TEMELJNE ODREDBE</w:t>
      </w:r>
    </w:p>
    <w:p w:rsidR="00315132" w:rsidRPr="000C702E" w:rsidRDefault="00315132">
      <w:pPr>
        <w:pStyle w:val="Caption"/>
        <w:tabs>
          <w:tab w:val="num" w:pos="426"/>
        </w:tabs>
        <w:ind w:left="426"/>
        <w:rPr>
          <w:rFonts w:ascii="Calibri" w:hAnsi="Calibri" w:cs="Calibri"/>
          <w:szCs w:val="24"/>
        </w:rPr>
      </w:pPr>
    </w:p>
    <w:p w:rsidR="00315132" w:rsidRPr="000C702E" w:rsidRDefault="00315132">
      <w:pPr>
        <w:pStyle w:val="Caption"/>
        <w:tabs>
          <w:tab w:val="num" w:pos="426"/>
        </w:tabs>
        <w:ind w:left="426"/>
        <w:rPr>
          <w:rFonts w:ascii="Calibri" w:hAnsi="Calibri" w:cs="Calibri"/>
          <w:szCs w:val="24"/>
        </w:rPr>
      </w:pPr>
    </w:p>
    <w:p w:rsidR="00315132" w:rsidRPr="000C702E" w:rsidRDefault="00315132">
      <w:pPr>
        <w:pStyle w:val="Caption"/>
        <w:tabs>
          <w:tab w:val="num" w:pos="426"/>
        </w:tabs>
        <w:ind w:left="426"/>
        <w:rPr>
          <w:rFonts w:ascii="Calibri" w:hAnsi="Calibri" w:cs="Calibri"/>
          <w:szCs w:val="24"/>
        </w:rPr>
      </w:pPr>
      <w:r w:rsidRPr="000C702E">
        <w:rPr>
          <w:rFonts w:ascii="Calibri" w:hAnsi="Calibri" w:cs="Calibri"/>
          <w:szCs w:val="24"/>
        </w:rPr>
        <w:t xml:space="preserve">Članak </w:t>
      </w:r>
      <w:r w:rsidR="00D15348" w:rsidRPr="000C702E">
        <w:rPr>
          <w:rFonts w:ascii="Calibri" w:hAnsi="Calibri" w:cs="Calibri"/>
          <w:szCs w:val="24"/>
        </w:rPr>
        <w:fldChar w:fldCharType="begin"/>
      </w:r>
      <w:r w:rsidRPr="000C702E">
        <w:rPr>
          <w:rFonts w:ascii="Calibri" w:hAnsi="Calibri" w:cs="Calibri"/>
          <w:szCs w:val="24"/>
        </w:rPr>
        <w:instrText xml:space="preserve"> SEQ Članak \* ARABIC </w:instrText>
      </w:r>
      <w:r w:rsidR="00D15348" w:rsidRPr="000C702E">
        <w:rPr>
          <w:rFonts w:ascii="Calibri" w:hAnsi="Calibri" w:cs="Calibri"/>
          <w:szCs w:val="24"/>
        </w:rPr>
        <w:fldChar w:fldCharType="separate"/>
      </w:r>
      <w:r w:rsidR="001A3124">
        <w:rPr>
          <w:rFonts w:ascii="Calibri" w:hAnsi="Calibri" w:cs="Calibri"/>
          <w:noProof/>
          <w:szCs w:val="24"/>
        </w:rPr>
        <w:t>1</w:t>
      </w:r>
      <w:r w:rsidR="00D15348" w:rsidRPr="000C702E">
        <w:rPr>
          <w:rFonts w:ascii="Calibri" w:hAnsi="Calibri" w:cs="Calibri"/>
          <w:szCs w:val="24"/>
        </w:rPr>
        <w:fldChar w:fldCharType="end"/>
      </w:r>
      <w:r w:rsidRPr="000C702E">
        <w:rPr>
          <w:rFonts w:ascii="Calibri" w:hAnsi="Calibri" w:cs="Calibri"/>
          <w:szCs w:val="24"/>
        </w:rPr>
        <w:t>.</w:t>
      </w:r>
    </w:p>
    <w:p w:rsidR="00315132" w:rsidRPr="004C2F49" w:rsidRDefault="00315132">
      <w:pPr>
        <w:pStyle w:val="BodyText"/>
        <w:spacing w:after="0"/>
        <w:jc w:val="both"/>
        <w:rPr>
          <w:rFonts w:ascii="Calibri" w:hAnsi="Calibri" w:cs="Calibri"/>
          <w:szCs w:val="24"/>
        </w:rPr>
      </w:pPr>
      <w:r w:rsidRPr="004C2F49">
        <w:rPr>
          <w:rFonts w:ascii="Calibri" w:hAnsi="Calibri" w:cs="Calibri"/>
          <w:szCs w:val="24"/>
        </w:rPr>
        <w:t>Donos</w:t>
      </w:r>
      <w:r w:rsidR="006074E3" w:rsidRPr="004C2F49">
        <w:rPr>
          <w:rFonts w:ascii="Calibri" w:hAnsi="Calibri" w:cs="Calibri"/>
          <w:szCs w:val="24"/>
        </w:rPr>
        <w:t>e</w:t>
      </w:r>
      <w:r w:rsidRPr="004C2F49">
        <w:rPr>
          <w:rFonts w:ascii="Calibri" w:hAnsi="Calibri" w:cs="Calibri"/>
          <w:szCs w:val="24"/>
        </w:rPr>
        <w:t xml:space="preserve"> se </w:t>
      </w:r>
      <w:r w:rsidR="00BA7B12" w:rsidRPr="004C2F49">
        <w:rPr>
          <w:rFonts w:ascii="Calibri" w:hAnsi="Calibri" w:cs="Calibri"/>
          <w:szCs w:val="24"/>
        </w:rPr>
        <w:t xml:space="preserve">Izmjene I dopune </w:t>
      </w:r>
      <w:r w:rsidRPr="004C2F49">
        <w:rPr>
          <w:rFonts w:ascii="Calibri" w:hAnsi="Calibri" w:cs="Calibri"/>
          <w:szCs w:val="24"/>
        </w:rPr>
        <w:t>Urbanistički</w:t>
      </w:r>
      <w:r w:rsidR="00BA7B12" w:rsidRPr="004C2F49">
        <w:rPr>
          <w:rFonts w:ascii="Calibri" w:hAnsi="Calibri" w:cs="Calibri"/>
          <w:szCs w:val="24"/>
        </w:rPr>
        <w:t>og</w:t>
      </w:r>
      <w:r w:rsidRPr="004C2F49">
        <w:rPr>
          <w:rFonts w:ascii="Calibri" w:hAnsi="Calibri" w:cs="Calibri"/>
          <w:szCs w:val="24"/>
        </w:rPr>
        <w:t xml:space="preserve"> plan</w:t>
      </w:r>
      <w:r w:rsidR="00BA7B12" w:rsidRPr="004C2F49">
        <w:rPr>
          <w:rFonts w:ascii="Calibri" w:hAnsi="Calibri" w:cs="Calibri"/>
          <w:szCs w:val="24"/>
        </w:rPr>
        <w:t>a</w:t>
      </w:r>
      <w:r w:rsidRPr="004C2F49">
        <w:rPr>
          <w:rFonts w:ascii="Calibri" w:hAnsi="Calibri" w:cs="Calibri"/>
          <w:szCs w:val="24"/>
        </w:rPr>
        <w:t xml:space="preserve"> uređenja SUTIVAN ISTOK (u daljnjem tekstu – </w:t>
      </w:r>
      <w:r w:rsidR="00BA7B12" w:rsidRPr="004C2F49">
        <w:rPr>
          <w:rFonts w:ascii="Calibri" w:hAnsi="Calibri" w:cs="Calibri"/>
          <w:szCs w:val="24"/>
        </w:rPr>
        <w:t xml:space="preserve">ID </w:t>
      </w:r>
      <w:r w:rsidRPr="004C2F49">
        <w:rPr>
          <w:rFonts w:ascii="Calibri" w:hAnsi="Calibri" w:cs="Calibri"/>
          <w:szCs w:val="24"/>
        </w:rPr>
        <w:t>UPU).</w:t>
      </w:r>
    </w:p>
    <w:p w:rsidR="00315132" w:rsidRPr="000C702E" w:rsidRDefault="00315132">
      <w:pPr>
        <w:pStyle w:val="BodyText"/>
        <w:spacing w:before="0" w:after="0"/>
        <w:jc w:val="both"/>
        <w:rPr>
          <w:rFonts w:ascii="Calibri" w:hAnsi="Calibri" w:cs="Calibri"/>
          <w:szCs w:val="24"/>
        </w:rPr>
      </w:pPr>
      <w:r w:rsidRPr="004C2F49">
        <w:rPr>
          <w:rFonts w:ascii="Calibri" w:hAnsi="Calibri" w:cs="Calibri"/>
          <w:szCs w:val="24"/>
        </w:rPr>
        <w:t xml:space="preserve">Elaborat </w:t>
      </w:r>
      <w:r w:rsidR="00BA7B12" w:rsidRPr="004C2F49">
        <w:rPr>
          <w:rFonts w:ascii="Calibri" w:hAnsi="Calibri" w:cs="Calibri"/>
          <w:szCs w:val="24"/>
        </w:rPr>
        <w:t xml:space="preserve">ID </w:t>
      </w:r>
      <w:r w:rsidRPr="004C2F49">
        <w:rPr>
          <w:rFonts w:ascii="Calibri" w:hAnsi="Calibri" w:cs="Calibri"/>
          <w:szCs w:val="24"/>
        </w:rPr>
        <w:t>UPU-a koji je</w:t>
      </w:r>
      <w:r w:rsidR="000C702E" w:rsidRPr="004C2F49">
        <w:rPr>
          <w:rFonts w:ascii="Calibri" w:hAnsi="Calibri" w:cs="Calibri"/>
          <w:szCs w:val="24"/>
        </w:rPr>
        <w:t xml:space="preserve"> izradio </w:t>
      </w:r>
      <w:r w:rsidR="003F678A" w:rsidRPr="004C2F49">
        <w:rPr>
          <w:rFonts w:ascii="Calibri" w:hAnsi="Calibri" w:cs="Calibri"/>
          <w:szCs w:val="24"/>
        </w:rPr>
        <w:t>Studio A</w:t>
      </w:r>
      <w:r w:rsidRPr="004C2F49">
        <w:rPr>
          <w:rFonts w:ascii="Calibri" w:hAnsi="Calibri" w:cs="Calibri"/>
          <w:szCs w:val="24"/>
        </w:rPr>
        <w:t xml:space="preserve"> iz</w:t>
      </w:r>
      <w:r w:rsidR="003F678A" w:rsidRPr="004C2F49">
        <w:rPr>
          <w:rFonts w:ascii="Calibri" w:hAnsi="Calibri" w:cs="Calibri"/>
          <w:szCs w:val="24"/>
        </w:rPr>
        <w:t>Zagreba</w:t>
      </w:r>
      <w:r w:rsidRPr="000C702E">
        <w:rPr>
          <w:rFonts w:ascii="Calibri" w:hAnsi="Calibri" w:cs="Calibri"/>
          <w:szCs w:val="24"/>
        </w:rPr>
        <w:t>je sastavni dio ove odluke.</w:t>
      </w:r>
    </w:p>
    <w:p w:rsidR="00315132" w:rsidRPr="000C702E" w:rsidRDefault="00315132">
      <w:pPr>
        <w:pStyle w:val="BodyText"/>
        <w:jc w:val="both"/>
        <w:rPr>
          <w:rFonts w:ascii="Calibri" w:hAnsi="Calibri" w:cs="Calibri"/>
          <w:b/>
          <w:szCs w:val="24"/>
        </w:rPr>
      </w:pPr>
    </w:p>
    <w:p w:rsidR="00315132" w:rsidRPr="000C702E" w:rsidRDefault="00315132">
      <w:pPr>
        <w:pStyle w:val="Caption"/>
        <w:tabs>
          <w:tab w:val="num" w:pos="426"/>
        </w:tabs>
        <w:ind w:left="426"/>
        <w:rPr>
          <w:rFonts w:ascii="Calibri" w:hAnsi="Calibri" w:cs="Calibri"/>
          <w:szCs w:val="24"/>
        </w:rPr>
      </w:pPr>
      <w:r w:rsidRPr="000C702E">
        <w:rPr>
          <w:rFonts w:ascii="Calibri" w:hAnsi="Calibri" w:cs="Calibri"/>
          <w:szCs w:val="24"/>
        </w:rPr>
        <w:t xml:space="preserve">Članak </w:t>
      </w:r>
      <w:r w:rsidR="00D15348" w:rsidRPr="000C702E">
        <w:rPr>
          <w:rFonts w:ascii="Calibri" w:hAnsi="Calibri" w:cs="Calibri"/>
          <w:szCs w:val="24"/>
        </w:rPr>
        <w:fldChar w:fldCharType="begin"/>
      </w:r>
      <w:r w:rsidRPr="000C702E">
        <w:rPr>
          <w:rFonts w:ascii="Calibri" w:hAnsi="Calibri" w:cs="Calibri"/>
          <w:szCs w:val="24"/>
        </w:rPr>
        <w:instrText xml:space="preserve"> SEQ Članak \* ARABIC </w:instrText>
      </w:r>
      <w:r w:rsidR="00D15348" w:rsidRPr="000C702E">
        <w:rPr>
          <w:rFonts w:ascii="Calibri" w:hAnsi="Calibri" w:cs="Calibri"/>
          <w:szCs w:val="24"/>
        </w:rPr>
        <w:fldChar w:fldCharType="separate"/>
      </w:r>
      <w:r w:rsidR="001A3124">
        <w:rPr>
          <w:rFonts w:ascii="Calibri" w:hAnsi="Calibri" w:cs="Calibri"/>
          <w:noProof/>
          <w:szCs w:val="24"/>
        </w:rPr>
        <w:t>2</w:t>
      </w:r>
      <w:r w:rsidR="00D15348" w:rsidRPr="000C702E">
        <w:rPr>
          <w:rFonts w:ascii="Calibri" w:hAnsi="Calibri" w:cs="Calibri"/>
          <w:szCs w:val="24"/>
        </w:rPr>
        <w:fldChar w:fldCharType="end"/>
      </w:r>
      <w:r w:rsidRPr="000C702E">
        <w:rPr>
          <w:rFonts w:ascii="Calibri" w:hAnsi="Calibri" w:cs="Calibri"/>
          <w:szCs w:val="24"/>
        </w:rPr>
        <w:t>.</w:t>
      </w:r>
    </w:p>
    <w:p w:rsidR="00315132" w:rsidRPr="000C702E" w:rsidRDefault="00315132">
      <w:pPr>
        <w:pStyle w:val="BodyText"/>
        <w:ind w:right="-426"/>
        <w:jc w:val="both"/>
        <w:rPr>
          <w:rFonts w:ascii="Calibri" w:hAnsi="Calibri" w:cs="Calibri"/>
          <w:szCs w:val="24"/>
        </w:rPr>
      </w:pPr>
      <w:r w:rsidRPr="000C702E">
        <w:rPr>
          <w:rFonts w:ascii="Calibri" w:hAnsi="Calibri" w:cs="Calibri"/>
          <w:szCs w:val="24"/>
        </w:rPr>
        <w:t xml:space="preserve">Elaborat </w:t>
      </w:r>
      <w:r w:rsidR="00BA7B12" w:rsidRPr="004C2F49">
        <w:rPr>
          <w:rFonts w:ascii="Calibri" w:hAnsi="Calibri" w:cs="Calibri"/>
          <w:szCs w:val="24"/>
        </w:rPr>
        <w:t>ID</w:t>
      </w:r>
      <w:r w:rsidRPr="000C702E">
        <w:rPr>
          <w:rFonts w:ascii="Calibri" w:hAnsi="Calibri" w:cs="Calibri"/>
          <w:szCs w:val="24"/>
        </w:rPr>
        <w:t>UPU-a sastoji se od tekstualnog i grafičkog dijela uvezanog u istoj knjizi:</w:t>
      </w:r>
    </w:p>
    <w:p w:rsidR="00315132" w:rsidRPr="000C702E" w:rsidRDefault="00315132">
      <w:pPr>
        <w:pStyle w:val="BodyText"/>
        <w:widowControl w:val="0"/>
        <w:numPr>
          <w:ilvl w:val="0"/>
          <w:numId w:val="25"/>
        </w:numPr>
        <w:spacing w:after="0"/>
        <w:jc w:val="both"/>
        <w:rPr>
          <w:rFonts w:ascii="Calibri" w:hAnsi="Calibri" w:cs="Calibri"/>
          <w:b/>
          <w:szCs w:val="24"/>
        </w:rPr>
      </w:pPr>
      <w:r w:rsidRPr="000C702E">
        <w:rPr>
          <w:rFonts w:ascii="Calibri" w:hAnsi="Calibri" w:cs="Calibri"/>
          <w:b/>
          <w:szCs w:val="24"/>
        </w:rPr>
        <w:t>TEKSTUALNI DIO</w:t>
      </w:r>
    </w:p>
    <w:p w:rsidR="00315132" w:rsidRPr="000C702E" w:rsidRDefault="00315132">
      <w:pPr>
        <w:pStyle w:val="BodyText"/>
        <w:tabs>
          <w:tab w:val="left" w:pos="3705"/>
        </w:tabs>
        <w:ind w:firstLine="720"/>
        <w:jc w:val="both"/>
        <w:rPr>
          <w:rFonts w:ascii="Calibri" w:hAnsi="Calibri" w:cs="Calibri"/>
          <w:szCs w:val="24"/>
        </w:rPr>
      </w:pPr>
      <w:r w:rsidRPr="000C702E">
        <w:rPr>
          <w:rFonts w:ascii="Calibri" w:hAnsi="Calibri" w:cs="Calibri"/>
          <w:szCs w:val="24"/>
        </w:rPr>
        <w:t>Odredbe za provođenje</w:t>
      </w:r>
      <w:r w:rsidRPr="000C702E">
        <w:rPr>
          <w:rFonts w:ascii="Calibri" w:hAnsi="Calibri" w:cs="Calibri"/>
          <w:szCs w:val="24"/>
        </w:rPr>
        <w:tab/>
      </w:r>
    </w:p>
    <w:p w:rsidR="00315132" w:rsidRPr="000C702E" w:rsidRDefault="00315132">
      <w:pPr>
        <w:pStyle w:val="BodyText"/>
        <w:widowControl w:val="0"/>
        <w:numPr>
          <w:ilvl w:val="0"/>
          <w:numId w:val="29"/>
        </w:numPr>
        <w:spacing w:after="0"/>
        <w:jc w:val="both"/>
        <w:rPr>
          <w:rFonts w:ascii="Calibri" w:hAnsi="Calibri" w:cs="Calibri"/>
          <w:b/>
          <w:szCs w:val="24"/>
        </w:rPr>
      </w:pPr>
      <w:r w:rsidRPr="000C702E">
        <w:rPr>
          <w:rFonts w:ascii="Calibri" w:hAnsi="Calibri" w:cs="Calibri"/>
          <w:b/>
          <w:szCs w:val="24"/>
        </w:rPr>
        <w:t>GRAFIČKI DIO</w:t>
      </w:r>
      <w:r w:rsidRPr="000C702E">
        <w:rPr>
          <w:rFonts w:ascii="Calibri" w:hAnsi="Calibri" w:cs="Calibri"/>
          <w:b/>
          <w:szCs w:val="24"/>
        </w:rPr>
        <w:tab/>
      </w:r>
    </w:p>
    <w:p w:rsidR="00315132" w:rsidRPr="000C702E" w:rsidRDefault="00315132">
      <w:pPr>
        <w:pStyle w:val="BodyText"/>
        <w:spacing w:after="0"/>
        <w:ind w:firstLine="720"/>
        <w:jc w:val="both"/>
        <w:rPr>
          <w:rFonts w:ascii="Calibri" w:hAnsi="Calibri" w:cs="Calibri"/>
          <w:szCs w:val="24"/>
        </w:rPr>
      </w:pPr>
      <w:r w:rsidRPr="000C702E">
        <w:rPr>
          <w:rFonts w:ascii="Calibri" w:hAnsi="Calibri" w:cs="Calibri"/>
          <w:szCs w:val="24"/>
        </w:rPr>
        <w:t>kart. prikaz br. 1</w:t>
      </w:r>
      <w:r w:rsidRPr="000C702E">
        <w:rPr>
          <w:rFonts w:ascii="Calibri" w:hAnsi="Calibri" w:cs="Calibri"/>
          <w:szCs w:val="24"/>
        </w:rPr>
        <w:tab/>
        <w:t>- Korištenje i namjena površina</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2.1</w:t>
      </w:r>
      <w:r w:rsidRPr="000C702E">
        <w:rPr>
          <w:rFonts w:ascii="Calibri" w:hAnsi="Calibri" w:cs="Calibri"/>
          <w:szCs w:val="24"/>
        </w:rPr>
        <w:tab/>
        <w:t>- Promet</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2.2</w:t>
      </w:r>
      <w:r w:rsidRPr="000C702E">
        <w:rPr>
          <w:rFonts w:ascii="Calibri" w:hAnsi="Calibri" w:cs="Calibri"/>
          <w:szCs w:val="24"/>
        </w:rPr>
        <w:tab/>
        <w:t>- Vodoopskrba</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2.3</w:t>
      </w:r>
      <w:r w:rsidRPr="000C702E">
        <w:rPr>
          <w:rFonts w:ascii="Calibri" w:hAnsi="Calibri" w:cs="Calibri"/>
          <w:szCs w:val="24"/>
        </w:rPr>
        <w:tab/>
        <w:t>- Odvodnja otpadnih voda</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2.4</w:t>
      </w:r>
      <w:r w:rsidRPr="000C702E">
        <w:rPr>
          <w:rFonts w:ascii="Calibri" w:hAnsi="Calibri" w:cs="Calibri"/>
          <w:szCs w:val="24"/>
        </w:rPr>
        <w:tab/>
        <w:t>- Elektroenergetika</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2.5</w:t>
      </w:r>
      <w:r w:rsidRPr="000C702E">
        <w:rPr>
          <w:rFonts w:ascii="Calibri" w:hAnsi="Calibri" w:cs="Calibri"/>
          <w:szCs w:val="24"/>
        </w:rPr>
        <w:tab/>
        <w:t>- Pošta i telekomunikacije</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3</w:t>
      </w:r>
      <w:r w:rsidRPr="000C702E">
        <w:rPr>
          <w:rFonts w:ascii="Calibri" w:hAnsi="Calibri" w:cs="Calibri"/>
          <w:szCs w:val="24"/>
        </w:rPr>
        <w:tab/>
        <w:t>- Uvjeti korištenja, uređenja i zaštite površina</w:t>
      </w:r>
      <w:r w:rsidRPr="000C702E">
        <w:rPr>
          <w:rFonts w:ascii="Calibri" w:hAnsi="Calibri" w:cs="Calibri"/>
          <w:szCs w:val="24"/>
        </w:rPr>
        <w:tab/>
        <w:t>1:1000</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kart. prikaz br. 4</w:t>
      </w:r>
      <w:r w:rsidRPr="000C702E">
        <w:rPr>
          <w:rFonts w:ascii="Calibri" w:hAnsi="Calibri" w:cs="Calibri"/>
          <w:szCs w:val="24"/>
        </w:rPr>
        <w:tab/>
        <w:t>- Način i uvjeti gradnje</w:t>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r>
      <w:r w:rsidRPr="000C702E">
        <w:rPr>
          <w:rFonts w:ascii="Calibri" w:hAnsi="Calibri" w:cs="Calibri"/>
          <w:szCs w:val="24"/>
        </w:rPr>
        <w:tab/>
        <w:t>1:1000</w:t>
      </w:r>
    </w:p>
    <w:p w:rsidR="00315132" w:rsidRPr="000C702E" w:rsidRDefault="00315132">
      <w:pPr>
        <w:pStyle w:val="BodyText"/>
        <w:widowControl w:val="0"/>
        <w:spacing w:after="0"/>
        <w:jc w:val="both"/>
        <w:rPr>
          <w:rFonts w:ascii="Calibri" w:hAnsi="Calibri" w:cs="Calibri"/>
          <w:szCs w:val="24"/>
        </w:rPr>
      </w:pPr>
      <w:r w:rsidRPr="000C702E">
        <w:rPr>
          <w:rFonts w:ascii="Calibri" w:hAnsi="Calibri" w:cs="Calibri"/>
          <w:szCs w:val="24"/>
        </w:rPr>
        <w:tab/>
      </w:r>
    </w:p>
    <w:p w:rsidR="00315132" w:rsidRPr="000C702E" w:rsidRDefault="00315132" w:rsidP="004C2F49">
      <w:pPr>
        <w:pStyle w:val="BodyText"/>
        <w:widowControl w:val="0"/>
        <w:spacing w:after="0"/>
        <w:ind w:left="720"/>
        <w:jc w:val="both"/>
        <w:rPr>
          <w:rFonts w:ascii="Calibri" w:hAnsi="Calibri" w:cs="Calibri"/>
          <w:b/>
          <w:szCs w:val="24"/>
        </w:rPr>
      </w:pPr>
      <w:r w:rsidRPr="000C702E">
        <w:rPr>
          <w:rFonts w:ascii="Calibri" w:hAnsi="Calibri" w:cs="Calibri"/>
          <w:b/>
          <w:szCs w:val="24"/>
        </w:rPr>
        <w:t>OBVEZNI PRILOZI</w:t>
      </w:r>
    </w:p>
    <w:p w:rsidR="00315132" w:rsidRPr="000C702E" w:rsidRDefault="00315132">
      <w:pPr>
        <w:pStyle w:val="BodyText"/>
        <w:spacing w:after="0"/>
        <w:ind w:firstLine="720"/>
        <w:jc w:val="both"/>
        <w:rPr>
          <w:rFonts w:ascii="Calibri" w:hAnsi="Calibri" w:cs="Calibri"/>
          <w:szCs w:val="24"/>
        </w:rPr>
      </w:pPr>
      <w:r w:rsidRPr="000C702E">
        <w:rPr>
          <w:rFonts w:ascii="Calibri" w:hAnsi="Calibri" w:cs="Calibri"/>
          <w:szCs w:val="24"/>
        </w:rPr>
        <w:t>Obrazloženje</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Izvod iz dokumenta šireg područja, koji se odnosi na obuhvat UPU-a</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 xml:space="preserve">Zahtjevi i mišljenja </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Izvješća o prethodnoj i javnoj raspravi</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Evidencija postupka izrade i donošenja UPU-a</w:t>
      </w:r>
    </w:p>
    <w:p w:rsidR="00315132" w:rsidRPr="000C702E" w:rsidRDefault="00315132">
      <w:pPr>
        <w:pStyle w:val="BodyText"/>
        <w:spacing w:before="0" w:after="0"/>
        <w:ind w:firstLine="720"/>
        <w:jc w:val="both"/>
        <w:rPr>
          <w:rFonts w:ascii="Calibri" w:hAnsi="Calibri" w:cs="Calibri"/>
          <w:szCs w:val="24"/>
        </w:rPr>
      </w:pPr>
      <w:r w:rsidRPr="000C702E">
        <w:rPr>
          <w:rFonts w:ascii="Calibri" w:hAnsi="Calibri" w:cs="Calibri"/>
          <w:szCs w:val="24"/>
        </w:rPr>
        <w:t>Sažetak za javnost</w:t>
      </w:r>
    </w:p>
    <w:p w:rsidR="00315132" w:rsidRPr="000C702E" w:rsidRDefault="00315132">
      <w:pPr>
        <w:pStyle w:val="janja"/>
        <w:spacing w:after="144"/>
        <w:rPr>
          <w:rFonts w:ascii="Calibri" w:hAnsi="Calibri" w:cs="Calibri"/>
          <w:b/>
          <w:sz w:val="24"/>
          <w:szCs w:val="24"/>
          <w:lang w:val="hr-HR"/>
        </w:rPr>
      </w:pPr>
    </w:p>
    <w:p w:rsidR="000C702E" w:rsidRDefault="000C702E">
      <w:pPr>
        <w:pStyle w:val="janja"/>
        <w:spacing w:after="144"/>
        <w:rPr>
          <w:rFonts w:ascii="Calibri" w:hAnsi="Calibri" w:cs="Calibri"/>
          <w:b/>
          <w:sz w:val="24"/>
          <w:szCs w:val="24"/>
          <w:lang w:val="hr-HR"/>
        </w:rPr>
      </w:pPr>
    </w:p>
    <w:p w:rsidR="000C702E" w:rsidRDefault="000C702E">
      <w:pPr>
        <w:pStyle w:val="janja"/>
        <w:spacing w:after="144"/>
        <w:rPr>
          <w:rFonts w:ascii="Calibri" w:hAnsi="Calibri" w:cs="Calibri"/>
          <w:b/>
          <w:sz w:val="24"/>
          <w:szCs w:val="24"/>
          <w:lang w:val="hr-HR"/>
        </w:rPr>
      </w:pPr>
    </w:p>
    <w:p w:rsidR="002D7296" w:rsidRDefault="002D7296" w:rsidP="002D7296">
      <w:pPr>
        <w:pStyle w:val="janja"/>
        <w:spacing w:after="144"/>
        <w:ind w:left="720"/>
        <w:rPr>
          <w:rFonts w:ascii="Calibri" w:hAnsi="Calibri" w:cs="Calibri"/>
          <w:b/>
          <w:sz w:val="24"/>
          <w:szCs w:val="24"/>
          <w:lang w:val="hr-HR"/>
        </w:rPr>
      </w:pPr>
    </w:p>
    <w:p w:rsidR="00315132" w:rsidRPr="000C702E" w:rsidRDefault="00315132" w:rsidP="002D7296">
      <w:pPr>
        <w:pStyle w:val="janja"/>
        <w:spacing w:after="144"/>
        <w:ind w:left="720"/>
        <w:rPr>
          <w:rFonts w:ascii="Calibri" w:hAnsi="Calibri" w:cs="Calibri"/>
          <w:b/>
          <w:sz w:val="24"/>
          <w:szCs w:val="24"/>
          <w:lang w:val="hr-HR"/>
        </w:rPr>
      </w:pPr>
      <w:r w:rsidRPr="000C702E">
        <w:rPr>
          <w:rFonts w:ascii="Calibri" w:hAnsi="Calibri" w:cs="Calibri"/>
          <w:b/>
          <w:sz w:val="24"/>
          <w:szCs w:val="24"/>
          <w:lang w:val="hr-HR"/>
        </w:rPr>
        <w:lastRenderedPageBreak/>
        <w:t>ODREDBE ZA PROVOĐENJE</w:t>
      </w:r>
    </w:p>
    <w:p w:rsidR="00315132" w:rsidRPr="000C702E" w:rsidRDefault="00315132">
      <w:pPr>
        <w:numPr>
          <w:ilvl w:val="0"/>
          <w:numId w:val="0"/>
        </w:numPr>
        <w:rPr>
          <w:rFonts w:ascii="Calibri" w:hAnsi="Calibri" w:cs="Calibri"/>
          <w:sz w:val="24"/>
          <w:szCs w:val="24"/>
        </w:rPr>
      </w:pPr>
    </w:p>
    <w:p w:rsidR="00315132" w:rsidRPr="000C702E" w:rsidRDefault="00315132">
      <w:pPr>
        <w:pStyle w:val="janja"/>
        <w:numPr>
          <w:ilvl w:val="0"/>
          <w:numId w:val="27"/>
        </w:numPr>
        <w:spacing w:after="144"/>
        <w:rPr>
          <w:rFonts w:ascii="Calibri" w:hAnsi="Calibri" w:cs="Calibri"/>
          <w:b/>
          <w:sz w:val="24"/>
          <w:szCs w:val="24"/>
          <w:lang w:val="hr-HR"/>
        </w:rPr>
      </w:pPr>
      <w:r w:rsidRPr="000C702E">
        <w:rPr>
          <w:rFonts w:ascii="Calibri" w:hAnsi="Calibri" w:cs="Calibri"/>
          <w:b/>
          <w:sz w:val="24"/>
          <w:szCs w:val="24"/>
          <w:lang w:val="hr-HR"/>
        </w:rPr>
        <w:t xml:space="preserve">Uvjeti određivanja i razgraničavanja površina javnih i drugih namjena </w:t>
      </w:r>
    </w:p>
    <w:p w:rsidR="00315132" w:rsidRDefault="00315132">
      <w:pPr>
        <w:pStyle w:val="Caption"/>
        <w:tabs>
          <w:tab w:val="num" w:pos="426"/>
        </w:tabs>
        <w:ind w:left="426"/>
        <w:rPr>
          <w:sz w:val="22"/>
        </w:rPr>
      </w:pPr>
    </w:p>
    <w:p w:rsidR="00315132" w:rsidRDefault="00315132">
      <w:pPr>
        <w:pStyle w:val="Caption"/>
        <w:tabs>
          <w:tab w:val="num" w:pos="426"/>
        </w:tabs>
        <w:ind w:left="426"/>
        <w:rPr>
          <w:sz w:val="22"/>
        </w:rPr>
      </w:pPr>
    </w:p>
    <w:p w:rsidR="00315132" w:rsidRDefault="00315132" w:rsidP="004C2F49">
      <w:pPr>
        <w:pStyle w:val="Caption"/>
        <w:tabs>
          <w:tab w:val="num" w:pos="426"/>
        </w:tabs>
        <w:jc w:val="left"/>
        <w:rPr>
          <w:rFonts w:ascii="Calibri" w:hAnsi="Calibri" w:cs="Calibri"/>
          <w:szCs w:val="24"/>
        </w:rPr>
      </w:pPr>
      <w:r w:rsidRPr="000C702E">
        <w:rPr>
          <w:rFonts w:ascii="Calibri" w:hAnsi="Calibri" w:cs="Calibri"/>
          <w:szCs w:val="24"/>
        </w:rPr>
        <w:t xml:space="preserve">Članak </w:t>
      </w:r>
      <w:r w:rsidR="00D15348" w:rsidRPr="000C702E">
        <w:rPr>
          <w:rFonts w:ascii="Calibri" w:hAnsi="Calibri" w:cs="Calibri"/>
          <w:szCs w:val="24"/>
        </w:rPr>
        <w:fldChar w:fldCharType="begin"/>
      </w:r>
      <w:r w:rsidRPr="000C702E">
        <w:rPr>
          <w:rFonts w:ascii="Calibri" w:hAnsi="Calibri" w:cs="Calibri"/>
          <w:szCs w:val="24"/>
        </w:rPr>
        <w:instrText xml:space="preserve"> SEQ Članak \* ARABIC </w:instrText>
      </w:r>
      <w:r w:rsidR="00D15348" w:rsidRPr="000C702E">
        <w:rPr>
          <w:rFonts w:ascii="Calibri" w:hAnsi="Calibri" w:cs="Calibri"/>
          <w:szCs w:val="24"/>
        </w:rPr>
        <w:fldChar w:fldCharType="separate"/>
      </w:r>
      <w:r w:rsidR="001A3124">
        <w:rPr>
          <w:rFonts w:ascii="Calibri" w:hAnsi="Calibri" w:cs="Calibri"/>
          <w:noProof/>
          <w:szCs w:val="24"/>
        </w:rPr>
        <w:t>3</w:t>
      </w:r>
      <w:r w:rsidR="00D15348" w:rsidRPr="000C702E">
        <w:rPr>
          <w:rFonts w:ascii="Calibri" w:hAnsi="Calibri" w:cs="Calibri"/>
          <w:szCs w:val="24"/>
        </w:rPr>
        <w:fldChar w:fldCharType="end"/>
      </w:r>
      <w:r w:rsidRPr="000C702E">
        <w:rPr>
          <w:rFonts w:ascii="Calibri" w:hAnsi="Calibri" w:cs="Calibri"/>
          <w:szCs w:val="24"/>
        </w:rPr>
        <w:t>.</w:t>
      </w:r>
    </w:p>
    <w:p w:rsidR="004C2F49" w:rsidRPr="004C2F49" w:rsidRDefault="004C2F49" w:rsidP="004C2F49">
      <w:pPr>
        <w:numPr>
          <w:ilvl w:val="0"/>
          <w:numId w:val="0"/>
        </w:numPr>
        <w:rPr>
          <w:rFonts w:asciiTheme="minorHAnsi" w:hAnsiTheme="minorHAnsi" w:cstheme="minorHAnsi"/>
          <w:sz w:val="24"/>
          <w:szCs w:val="24"/>
          <w:lang w:val="hr-HR"/>
        </w:rPr>
      </w:pPr>
    </w:p>
    <w:p w:rsidR="004C2F49" w:rsidRPr="002B18C1" w:rsidRDefault="004C2F49" w:rsidP="004C2F49">
      <w:pPr>
        <w:numPr>
          <w:ilvl w:val="0"/>
          <w:numId w:val="0"/>
        </w:numPr>
        <w:rPr>
          <w:rFonts w:asciiTheme="minorHAnsi" w:hAnsiTheme="minorHAnsi" w:cstheme="minorHAnsi"/>
          <w:b/>
          <w:sz w:val="24"/>
          <w:szCs w:val="24"/>
          <w:lang w:val="hr-HR"/>
        </w:rPr>
      </w:pPr>
      <w:r w:rsidRPr="002B18C1">
        <w:rPr>
          <w:rFonts w:asciiTheme="minorHAnsi" w:hAnsiTheme="minorHAnsi" w:cstheme="minorHAnsi"/>
          <w:b/>
          <w:sz w:val="24"/>
          <w:szCs w:val="24"/>
          <w:lang w:val="hr-HR"/>
        </w:rPr>
        <w:t xml:space="preserve">Članak 3. </w:t>
      </w:r>
      <w:r w:rsidR="002B18C1">
        <w:rPr>
          <w:rFonts w:asciiTheme="minorHAnsi" w:hAnsiTheme="minorHAnsi" w:cstheme="minorHAnsi"/>
          <w:b/>
          <w:sz w:val="24"/>
          <w:szCs w:val="24"/>
          <w:lang w:val="hr-HR"/>
        </w:rPr>
        <w:t>m</w:t>
      </w:r>
      <w:r w:rsidRPr="002B18C1">
        <w:rPr>
          <w:rFonts w:asciiTheme="minorHAnsi" w:hAnsiTheme="minorHAnsi" w:cstheme="minorHAnsi"/>
          <w:b/>
          <w:sz w:val="24"/>
          <w:szCs w:val="24"/>
          <w:lang w:val="hr-HR"/>
        </w:rPr>
        <w:t>ijenja se i sada glasi:</w:t>
      </w:r>
    </w:p>
    <w:p w:rsidR="00315132" w:rsidRPr="000C702E" w:rsidRDefault="00315132">
      <w:pPr>
        <w:pStyle w:val="janja"/>
        <w:spacing w:before="120" w:after="120"/>
        <w:rPr>
          <w:rFonts w:ascii="Calibri" w:hAnsi="Calibri" w:cs="Calibri"/>
          <w:sz w:val="24"/>
          <w:szCs w:val="24"/>
          <w:lang w:val="hr-HR"/>
        </w:rPr>
      </w:pPr>
      <w:r w:rsidRPr="000C702E">
        <w:rPr>
          <w:rFonts w:ascii="Calibri" w:hAnsi="Calibri" w:cs="Calibri"/>
          <w:sz w:val="24"/>
          <w:szCs w:val="24"/>
          <w:lang w:val="hr-HR"/>
        </w:rPr>
        <w:t xml:space="preserve">Uvjeti za određivanje korištenja površina za javne i druge namjene u </w:t>
      </w:r>
      <w:r w:rsidR="00BA7B12" w:rsidRPr="004C2F49">
        <w:rPr>
          <w:rFonts w:ascii="Calibri" w:hAnsi="Calibri" w:cs="Calibri"/>
          <w:sz w:val="24"/>
          <w:szCs w:val="24"/>
          <w:lang w:val="hr-HR"/>
        </w:rPr>
        <w:t xml:space="preserve">ID </w:t>
      </w:r>
      <w:r w:rsidRPr="004C2F49">
        <w:rPr>
          <w:rFonts w:ascii="Calibri" w:hAnsi="Calibri" w:cs="Calibri"/>
          <w:sz w:val="24"/>
          <w:szCs w:val="24"/>
          <w:lang w:val="hr-HR"/>
        </w:rPr>
        <w:t>Urbanističko</w:t>
      </w:r>
      <w:r w:rsidR="00BA7B12" w:rsidRPr="004C2F49">
        <w:rPr>
          <w:rFonts w:ascii="Calibri" w:hAnsi="Calibri" w:cs="Calibri"/>
          <w:sz w:val="24"/>
          <w:szCs w:val="24"/>
          <w:lang w:val="hr-HR"/>
        </w:rPr>
        <w:t>g</w:t>
      </w:r>
      <w:r w:rsidRPr="004C2F49">
        <w:rPr>
          <w:rFonts w:ascii="Calibri" w:hAnsi="Calibri" w:cs="Calibri"/>
          <w:sz w:val="24"/>
          <w:szCs w:val="24"/>
          <w:lang w:val="hr-HR"/>
        </w:rPr>
        <w:t xml:space="preserve"> plan</w:t>
      </w:r>
      <w:r w:rsidR="00BA7B12" w:rsidRPr="004C2F49">
        <w:rPr>
          <w:rFonts w:ascii="Calibri" w:hAnsi="Calibri" w:cs="Calibri"/>
          <w:sz w:val="24"/>
          <w:szCs w:val="24"/>
          <w:lang w:val="hr-HR"/>
        </w:rPr>
        <w:t>a</w:t>
      </w:r>
      <w:r w:rsidRPr="000C702E">
        <w:rPr>
          <w:rFonts w:ascii="Calibri" w:hAnsi="Calibri" w:cs="Calibri"/>
          <w:sz w:val="24"/>
          <w:szCs w:val="24"/>
          <w:lang w:val="hr-HR"/>
        </w:rPr>
        <w:t xml:space="preserve"> uređenja su:</w:t>
      </w:r>
    </w:p>
    <w:p w:rsidR="00315132" w:rsidRPr="000C702E" w:rsidRDefault="00315132">
      <w:pPr>
        <w:pStyle w:val="janja"/>
        <w:numPr>
          <w:ilvl w:val="0"/>
          <w:numId w:val="18"/>
        </w:numPr>
        <w:spacing w:after="144"/>
        <w:rPr>
          <w:rFonts w:ascii="Calibri" w:hAnsi="Calibri" w:cs="Calibri"/>
          <w:sz w:val="24"/>
          <w:szCs w:val="24"/>
          <w:lang w:val="hr-HR"/>
        </w:rPr>
      </w:pPr>
      <w:r w:rsidRPr="000C702E">
        <w:rPr>
          <w:rFonts w:ascii="Calibri" w:hAnsi="Calibri" w:cs="Calibri"/>
          <w:sz w:val="24"/>
          <w:szCs w:val="24"/>
          <w:lang w:val="hr-HR"/>
        </w:rPr>
        <w:t xml:space="preserve">Prostorni razvoj temeljen na potrebama stalnih i povremenih stanovnika (ove potrebe slijede iz demografskog razvoja temeljenog na prirodnom priraštaju stanovništva, doseljavanju odnosno povratku stanovnika koji su ove prostore napuštali u prošlosti, te boravku povremenih stanovnika i turista) i usklađen s nosivim kapacitetom prirodnog, kulturnog i socijalnog okoliša unutar obuhvata Plana </w:t>
      </w:r>
    </w:p>
    <w:p w:rsidR="00315132" w:rsidRPr="000C702E" w:rsidRDefault="00315132">
      <w:pPr>
        <w:pStyle w:val="janja"/>
        <w:numPr>
          <w:ilvl w:val="0"/>
          <w:numId w:val="18"/>
        </w:numPr>
        <w:spacing w:after="144"/>
        <w:rPr>
          <w:rFonts w:ascii="Calibri" w:hAnsi="Calibri" w:cs="Calibri"/>
          <w:sz w:val="24"/>
          <w:szCs w:val="24"/>
          <w:lang w:val="hr-HR"/>
        </w:rPr>
      </w:pPr>
      <w:r w:rsidRPr="000C702E">
        <w:rPr>
          <w:rFonts w:ascii="Calibri" w:hAnsi="Calibri" w:cs="Calibri"/>
          <w:sz w:val="24"/>
          <w:szCs w:val="24"/>
          <w:lang w:val="hr-HR"/>
        </w:rPr>
        <w:t>Zaštita vrijednih područja i krajolika, posebno dijelova obalnog pojasa</w:t>
      </w:r>
    </w:p>
    <w:p w:rsidR="00315132" w:rsidRPr="000C702E" w:rsidRDefault="00315132">
      <w:pPr>
        <w:pStyle w:val="janja"/>
        <w:numPr>
          <w:ilvl w:val="0"/>
          <w:numId w:val="18"/>
        </w:numPr>
        <w:spacing w:after="144"/>
        <w:rPr>
          <w:rFonts w:ascii="Calibri" w:hAnsi="Calibri" w:cs="Calibri"/>
          <w:sz w:val="24"/>
          <w:szCs w:val="24"/>
          <w:lang w:val="hr-HR"/>
        </w:rPr>
      </w:pPr>
      <w:r w:rsidRPr="000C702E">
        <w:rPr>
          <w:rFonts w:ascii="Calibri" w:hAnsi="Calibri" w:cs="Calibri"/>
          <w:sz w:val="24"/>
          <w:szCs w:val="24"/>
          <w:lang w:val="hr-HR"/>
        </w:rPr>
        <w:t>Osiguranje prostora i lokacija za infrastrukturne i ostale objekte i sadržaje u skladu s potrebama demografskog i gospodarskog razvoja.</w:t>
      </w:r>
    </w:p>
    <w:p w:rsidR="00315132" w:rsidRPr="000C702E" w:rsidRDefault="00315132">
      <w:pPr>
        <w:pStyle w:val="janja"/>
        <w:numPr>
          <w:ilvl w:val="0"/>
          <w:numId w:val="18"/>
        </w:numPr>
        <w:spacing w:after="144"/>
        <w:rPr>
          <w:rFonts w:ascii="Calibri" w:hAnsi="Calibri" w:cs="Calibri"/>
          <w:sz w:val="24"/>
          <w:szCs w:val="24"/>
          <w:lang w:val="hr-HR"/>
        </w:rPr>
      </w:pPr>
      <w:r w:rsidRPr="000C702E">
        <w:rPr>
          <w:rFonts w:ascii="Calibri" w:hAnsi="Calibri" w:cs="Calibri"/>
          <w:sz w:val="24"/>
          <w:szCs w:val="24"/>
          <w:lang w:val="hr-HR"/>
        </w:rPr>
        <w:t>Osiguranje primjerenog razvoja, opremanja i uređivanja prostora, posebno javnih, te čuvanje elemenata posebnosti fizionomskih i morfoloških obilježja naselja Sutivan.</w:t>
      </w:r>
    </w:p>
    <w:p w:rsidR="00315132" w:rsidRPr="000C702E" w:rsidRDefault="00315132">
      <w:pPr>
        <w:pStyle w:val="janja"/>
        <w:numPr>
          <w:ilvl w:val="0"/>
          <w:numId w:val="18"/>
        </w:numPr>
        <w:spacing w:after="144"/>
        <w:rPr>
          <w:rFonts w:ascii="Calibri" w:hAnsi="Calibri" w:cs="Calibri"/>
          <w:sz w:val="24"/>
          <w:szCs w:val="24"/>
          <w:lang w:val="hr-HR"/>
        </w:rPr>
      </w:pPr>
      <w:r w:rsidRPr="000C702E">
        <w:rPr>
          <w:rFonts w:ascii="Calibri" w:hAnsi="Calibri" w:cs="Calibri"/>
          <w:sz w:val="24"/>
          <w:szCs w:val="24"/>
          <w:lang w:val="hr-HR"/>
        </w:rPr>
        <w:t>Poštivanje principa održivog korištenja i kriterija zaštite okoliša</w:t>
      </w:r>
    </w:p>
    <w:p w:rsidR="00315132" w:rsidRPr="000C702E" w:rsidRDefault="00315132">
      <w:pPr>
        <w:pStyle w:val="janja"/>
        <w:spacing w:after="144"/>
        <w:rPr>
          <w:rFonts w:ascii="Calibri" w:hAnsi="Calibri" w:cs="Calibri"/>
          <w:sz w:val="24"/>
          <w:szCs w:val="24"/>
          <w:lang w:val="hr-HR"/>
        </w:rPr>
      </w:pPr>
      <w:r w:rsidRPr="000C702E">
        <w:rPr>
          <w:rFonts w:ascii="Calibri" w:hAnsi="Calibri" w:cs="Calibri"/>
          <w:sz w:val="24"/>
          <w:szCs w:val="24"/>
          <w:lang w:val="hr-HR"/>
        </w:rPr>
        <w:t>Površine javnih i drugih namjena razgraničene su i označene bojom i planskim znakom na kartografskom prikazu broj 1. ‘Korištenje i namjena površina’.</w:t>
      </w:r>
    </w:p>
    <w:p w:rsidR="00315132" w:rsidRPr="000C702E" w:rsidRDefault="00315132">
      <w:pPr>
        <w:pStyle w:val="janja"/>
        <w:spacing w:after="144"/>
        <w:rPr>
          <w:rFonts w:ascii="Calibri" w:hAnsi="Calibri" w:cs="Calibri"/>
          <w:b/>
          <w:sz w:val="24"/>
          <w:szCs w:val="24"/>
          <w:lang w:val="hr-HR"/>
        </w:rPr>
      </w:pPr>
      <w:r w:rsidRPr="000C702E">
        <w:rPr>
          <w:rFonts w:ascii="Calibri" w:hAnsi="Calibri" w:cs="Calibri"/>
          <w:b/>
          <w:sz w:val="24"/>
          <w:szCs w:val="24"/>
          <w:lang w:val="hr-HR"/>
        </w:rPr>
        <w:t>1. Mješovita namjena</w:t>
      </w:r>
    </w:p>
    <w:p w:rsidR="00315132" w:rsidRPr="000C702E" w:rsidRDefault="00315132">
      <w:pPr>
        <w:pStyle w:val="janja"/>
        <w:numPr>
          <w:ilvl w:val="0"/>
          <w:numId w:val="6"/>
        </w:numPr>
        <w:spacing w:after="144"/>
        <w:rPr>
          <w:rFonts w:ascii="Calibri" w:hAnsi="Calibri" w:cs="Calibri"/>
          <w:sz w:val="24"/>
          <w:szCs w:val="24"/>
          <w:lang w:val="hr-HR"/>
        </w:rPr>
      </w:pPr>
      <w:r w:rsidRPr="000C702E">
        <w:rPr>
          <w:rFonts w:ascii="Calibri" w:hAnsi="Calibri" w:cs="Calibri"/>
          <w:sz w:val="24"/>
          <w:szCs w:val="24"/>
          <w:lang w:val="hr-HR"/>
        </w:rPr>
        <w:t>pretežito stambena, M1</w:t>
      </w:r>
    </w:p>
    <w:p w:rsidR="00315132" w:rsidRPr="000C702E" w:rsidRDefault="004C2F49">
      <w:pPr>
        <w:pStyle w:val="janja"/>
        <w:spacing w:after="144"/>
        <w:rPr>
          <w:rFonts w:ascii="Calibri" w:hAnsi="Calibri" w:cs="Calibri"/>
          <w:sz w:val="24"/>
          <w:szCs w:val="24"/>
          <w:lang w:val="hr-HR"/>
        </w:rPr>
      </w:pPr>
      <w:r w:rsidRPr="009E3421">
        <w:rPr>
          <w:rFonts w:ascii="Calibri" w:hAnsi="Calibri" w:cs="Calibri"/>
          <w:b/>
          <w:sz w:val="24"/>
          <w:szCs w:val="24"/>
          <w:lang w:val="hr-HR"/>
        </w:rPr>
        <w:t>2</w:t>
      </w:r>
      <w:r w:rsidR="00315132" w:rsidRPr="009E3421">
        <w:rPr>
          <w:rFonts w:ascii="Calibri" w:hAnsi="Calibri" w:cs="Calibri"/>
          <w:b/>
          <w:sz w:val="24"/>
          <w:szCs w:val="24"/>
          <w:lang w:val="hr-HR"/>
        </w:rPr>
        <w:t>.</w:t>
      </w:r>
      <w:r w:rsidR="00315132" w:rsidRPr="000C702E">
        <w:rPr>
          <w:rFonts w:ascii="Calibri" w:hAnsi="Calibri" w:cs="Calibri"/>
          <w:b/>
          <w:sz w:val="24"/>
          <w:szCs w:val="24"/>
          <w:lang w:val="hr-HR"/>
        </w:rPr>
        <w:t xml:space="preserve"> Sportsko rekreacijska namjena</w:t>
      </w:r>
    </w:p>
    <w:p w:rsidR="00315132" w:rsidRPr="004C2F49" w:rsidRDefault="00BA7B12">
      <w:pPr>
        <w:pStyle w:val="janja"/>
        <w:numPr>
          <w:ilvl w:val="0"/>
          <w:numId w:val="5"/>
        </w:numPr>
        <w:spacing w:after="144"/>
        <w:rPr>
          <w:rFonts w:ascii="Calibri" w:hAnsi="Calibri" w:cs="Calibri"/>
          <w:strike/>
          <w:sz w:val="24"/>
          <w:szCs w:val="24"/>
          <w:lang w:val="hr-HR"/>
        </w:rPr>
      </w:pPr>
      <w:r w:rsidRPr="004C2F49">
        <w:rPr>
          <w:rFonts w:ascii="Calibri" w:hAnsi="Calibri" w:cs="Calibri"/>
          <w:sz w:val="24"/>
          <w:szCs w:val="24"/>
          <w:lang w:val="hr-HR"/>
        </w:rPr>
        <w:t>UP</w:t>
      </w:r>
      <w:r w:rsidR="001D6A62">
        <w:rPr>
          <w:rFonts w:ascii="Calibri" w:hAnsi="Calibri" w:cs="Calibri"/>
          <w:sz w:val="24"/>
          <w:szCs w:val="24"/>
          <w:lang w:val="hr-HR"/>
        </w:rPr>
        <w:t xml:space="preserve">- </w:t>
      </w:r>
      <w:r w:rsidR="00481F41">
        <w:rPr>
          <w:rFonts w:ascii="Calibri" w:hAnsi="Calibri" w:cs="Calibri"/>
          <w:sz w:val="24"/>
          <w:szCs w:val="24"/>
          <w:lang w:val="hr-HR"/>
        </w:rPr>
        <w:t>kupalište</w:t>
      </w:r>
    </w:p>
    <w:p w:rsidR="00315132" w:rsidRPr="000C702E" w:rsidRDefault="00315132">
      <w:pPr>
        <w:pStyle w:val="janja"/>
        <w:spacing w:after="144"/>
        <w:rPr>
          <w:rFonts w:ascii="Calibri" w:hAnsi="Calibri" w:cs="Calibri"/>
          <w:sz w:val="24"/>
          <w:szCs w:val="24"/>
          <w:lang w:val="hr-HR"/>
        </w:rPr>
      </w:pPr>
    </w:p>
    <w:p w:rsidR="00315132" w:rsidRPr="000C702E" w:rsidRDefault="00315132">
      <w:pPr>
        <w:pStyle w:val="janja"/>
        <w:spacing w:after="144"/>
        <w:rPr>
          <w:rFonts w:ascii="Calibri" w:hAnsi="Calibri" w:cs="Calibri"/>
          <w:b/>
          <w:sz w:val="24"/>
          <w:szCs w:val="24"/>
          <w:lang w:val="hr-HR"/>
        </w:rPr>
      </w:pPr>
      <w:r w:rsidRPr="000C702E">
        <w:rPr>
          <w:rFonts w:ascii="Calibri" w:hAnsi="Calibri" w:cs="Calibri"/>
          <w:b/>
          <w:sz w:val="24"/>
          <w:szCs w:val="24"/>
          <w:lang w:val="hr-HR"/>
        </w:rPr>
        <w:t>Korištenje i namjena površina</w:t>
      </w:r>
    </w:p>
    <w:p w:rsidR="00315132" w:rsidRDefault="00315132">
      <w:pPr>
        <w:pStyle w:val="janja"/>
        <w:spacing w:after="144"/>
        <w:rPr>
          <w:rFonts w:ascii="Calibri" w:hAnsi="Calibri" w:cs="Calibri"/>
          <w:b/>
          <w:sz w:val="24"/>
          <w:szCs w:val="24"/>
          <w:lang w:val="hr-HR"/>
        </w:rPr>
      </w:pPr>
      <w:r w:rsidRPr="000C702E">
        <w:rPr>
          <w:rFonts w:ascii="Calibri" w:hAnsi="Calibri" w:cs="Calibri"/>
          <w:b/>
          <w:sz w:val="24"/>
          <w:szCs w:val="24"/>
          <w:lang w:val="hr-HR"/>
        </w:rPr>
        <w:t>Mješovita namjena, pretežito stambena,  M1</w:t>
      </w:r>
    </w:p>
    <w:p w:rsidR="000C702E" w:rsidRPr="000C702E" w:rsidRDefault="000C702E">
      <w:pPr>
        <w:pStyle w:val="janja"/>
        <w:spacing w:after="144"/>
        <w:rPr>
          <w:rFonts w:ascii="Calibri" w:hAnsi="Calibri" w:cs="Calibri"/>
          <w:b/>
          <w:sz w:val="24"/>
          <w:szCs w:val="24"/>
          <w:lang w:val="hr-HR"/>
        </w:rPr>
      </w:pPr>
    </w:p>
    <w:p w:rsidR="00315132" w:rsidRPr="002B18C1" w:rsidRDefault="00315132" w:rsidP="004C2F49">
      <w:pPr>
        <w:pStyle w:val="Caption"/>
        <w:tabs>
          <w:tab w:val="num" w:pos="426"/>
        </w:tabs>
        <w:jc w:val="left"/>
        <w:rPr>
          <w:rFonts w:ascii="Calibri" w:hAnsi="Calibri" w:cs="Calibri"/>
          <w:szCs w:val="24"/>
        </w:rPr>
      </w:pPr>
      <w:r w:rsidRPr="009E3421">
        <w:rPr>
          <w:rFonts w:ascii="Calibri" w:hAnsi="Calibri" w:cs="Calibri"/>
          <w:szCs w:val="24"/>
        </w:rPr>
        <w:t xml:space="preserve">Članak </w:t>
      </w:r>
      <w:r w:rsidR="00D15348" w:rsidRPr="009E3421">
        <w:rPr>
          <w:rFonts w:ascii="Calibri" w:hAnsi="Calibri" w:cs="Calibri"/>
          <w:szCs w:val="24"/>
        </w:rPr>
        <w:fldChar w:fldCharType="begin"/>
      </w:r>
      <w:r w:rsidRPr="009E3421">
        <w:rPr>
          <w:rFonts w:ascii="Calibri" w:hAnsi="Calibri" w:cs="Calibri"/>
          <w:szCs w:val="24"/>
        </w:rPr>
        <w:instrText xml:space="preserve"> SEQ Članak \* ARABIC </w:instrText>
      </w:r>
      <w:r w:rsidR="00D15348" w:rsidRPr="009E3421">
        <w:rPr>
          <w:rFonts w:ascii="Calibri" w:hAnsi="Calibri" w:cs="Calibri"/>
          <w:szCs w:val="24"/>
        </w:rPr>
        <w:fldChar w:fldCharType="separate"/>
      </w:r>
      <w:r w:rsidR="001A3124">
        <w:rPr>
          <w:rFonts w:ascii="Calibri" w:hAnsi="Calibri" w:cs="Calibri"/>
          <w:noProof/>
          <w:szCs w:val="24"/>
        </w:rPr>
        <w:t>4</w:t>
      </w:r>
      <w:r w:rsidR="00D15348" w:rsidRPr="009E3421">
        <w:rPr>
          <w:rFonts w:ascii="Calibri" w:hAnsi="Calibri" w:cs="Calibri"/>
          <w:szCs w:val="24"/>
        </w:rPr>
        <w:fldChar w:fldCharType="end"/>
      </w:r>
      <w:r w:rsidRPr="009E3421">
        <w:rPr>
          <w:rFonts w:ascii="Calibri" w:hAnsi="Calibri" w:cs="Calibri"/>
          <w:szCs w:val="24"/>
        </w:rPr>
        <w:t>.</w:t>
      </w:r>
    </w:p>
    <w:p w:rsidR="004C2F49" w:rsidRPr="002B18C1" w:rsidRDefault="004C2F49" w:rsidP="004C2F49">
      <w:pPr>
        <w:numPr>
          <w:ilvl w:val="0"/>
          <w:numId w:val="0"/>
        </w:numPr>
        <w:rPr>
          <w:sz w:val="24"/>
          <w:szCs w:val="24"/>
          <w:lang w:val="hr-HR"/>
        </w:rPr>
      </w:pPr>
    </w:p>
    <w:p w:rsidR="004C2F49" w:rsidRPr="002B18C1" w:rsidRDefault="004C2F49" w:rsidP="004C2F49">
      <w:pPr>
        <w:numPr>
          <w:ilvl w:val="0"/>
          <w:numId w:val="0"/>
        </w:numPr>
        <w:rPr>
          <w:rFonts w:asciiTheme="minorHAnsi" w:hAnsiTheme="minorHAnsi" w:cstheme="minorHAnsi"/>
          <w:b/>
          <w:sz w:val="24"/>
          <w:szCs w:val="24"/>
          <w:lang w:val="hr-HR"/>
        </w:rPr>
      </w:pPr>
      <w:r w:rsidRPr="002B18C1">
        <w:rPr>
          <w:rFonts w:asciiTheme="minorHAnsi" w:hAnsiTheme="minorHAnsi" w:cstheme="minorHAnsi"/>
          <w:b/>
          <w:sz w:val="24"/>
          <w:szCs w:val="24"/>
          <w:lang w:val="hr-HR"/>
        </w:rPr>
        <w:t xml:space="preserve">Članak 4. </w:t>
      </w:r>
      <w:r w:rsidR="00D8398D" w:rsidRPr="002B18C1">
        <w:rPr>
          <w:rFonts w:asciiTheme="minorHAnsi" w:hAnsiTheme="minorHAnsi" w:cstheme="minorHAnsi"/>
          <w:b/>
          <w:sz w:val="24"/>
          <w:szCs w:val="24"/>
          <w:lang w:val="hr-HR"/>
        </w:rPr>
        <w:t>m</w:t>
      </w:r>
      <w:r w:rsidRPr="002B18C1">
        <w:rPr>
          <w:rFonts w:asciiTheme="minorHAnsi" w:hAnsiTheme="minorHAnsi" w:cstheme="minorHAnsi"/>
          <w:b/>
          <w:sz w:val="24"/>
          <w:szCs w:val="24"/>
          <w:lang w:val="hr-HR"/>
        </w:rPr>
        <w:t>ijenja se i sada glasi:</w:t>
      </w:r>
    </w:p>
    <w:p w:rsidR="00315132" w:rsidRPr="002B18C1" w:rsidRDefault="00315132">
      <w:pPr>
        <w:pStyle w:val="janja"/>
        <w:spacing w:before="120" w:after="120"/>
        <w:rPr>
          <w:rFonts w:ascii="Calibri" w:hAnsi="Calibri" w:cs="Calibri"/>
          <w:sz w:val="24"/>
          <w:szCs w:val="24"/>
          <w:lang w:val="hr-HR"/>
        </w:rPr>
      </w:pPr>
      <w:r w:rsidRPr="002B18C1">
        <w:rPr>
          <w:rFonts w:ascii="Calibri" w:hAnsi="Calibri" w:cs="Calibri"/>
          <w:sz w:val="24"/>
          <w:szCs w:val="24"/>
          <w:lang w:val="hr-HR"/>
        </w:rPr>
        <w:t xml:space="preserve">U zonama namjene M1 smještaju se obiteljske stambene građevine i višestambene građevine. Unutar zona namjene M1 moguće je smjestiti i prateće poslovne sadržaje (trgovački, turističko-ugostiteljski sadržaji; uslužni, rekreacijski i slični sadržaji primarno u funkciji naselja). </w:t>
      </w:r>
    </w:p>
    <w:p w:rsidR="00315132" w:rsidRPr="002B18C1" w:rsidRDefault="00315132">
      <w:pPr>
        <w:pStyle w:val="janja"/>
        <w:spacing w:after="120"/>
        <w:rPr>
          <w:rFonts w:ascii="Calibri" w:hAnsi="Calibri" w:cs="Calibri"/>
          <w:sz w:val="24"/>
          <w:szCs w:val="24"/>
          <w:lang w:val="hr-HR"/>
        </w:rPr>
      </w:pPr>
      <w:r w:rsidRPr="002B18C1">
        <w:rPr>
          <w:rFonts w:ascii="Calibri" w:hAnsi="Calibri" w:cs="Calibri"/>
          <w:sz w:val="24"/>
          <w:szCs w:val="24"/>
          <w:lang w:val="hr-HR"/>
        </w:rPr>
        <w:t xml:space="preserve">Turističko-ugostiteljski sadržaji mogu se realizirati korištenjem dijela građevine, zasebne građevine, dijela građevne čestice i zasebne čestice. </w:t>
      </w:r>
    </w:p>
    <w:p w:rsidR="00315132" w:rsidRPr="00BC00CC" w:rsidRDefault="00315132">
      <w:pPr>
        <w:pStyle w:val="janja"/>
        <w:spacing w:after="144"/>
        <w:rPr>
          <w:rFonts w:asciiTheme="minorHAnsi" w:hAnsiTheme="minorHAnsi" w:cstheme="minorHAnsi"/>
          <w:sz w:val="24"/>
          <w:szCs w:val="24"/>
          <w:lang w:val="hr-HR"/>
        </w:rPr>
      </w:pPr>
      <w:r w:rsidRPr="00BC00CC">
        <w:rPr>
          <w:rFonts w:asciiTheme="minorHAnsi" w:hAnsiTheme="minorHAnsi" w:cstheme="minorHAnsi"/>
          <w:sz w:val="24"/>
          <w:szCs w:val="24"/>
          <w:lang w:val="hr-HR"/>
        </w:rPr>
        <w:lastRenderedPageBreak/>
        <w:t xml:space="preserve">Svi ostali sekundarni sadržaji mogu se realizirati samo korištenjem dijela građevine i to najviše do </w:t>
      </w:r>
      <w:r w:rsidR="000C702E" w:rsidRPr="00BC00CC">
        <w:rPr>
          <w:rFonts w:asciiTheme="minorHAnsi" w:hAnsiTheme="minorHAnsi" w:cstheme="minorHAnsi"/>
          <w:sz w:val="24"/>
          <w:szCs w:val="24"/>
          <w:lang w:val="hr-HR"/>
        </w:rPr>
        <w:t>50</w:t>
      </w:r>
      <w:r w:rsidRPr="00BC00CC">
        <w:rPr>
          <w:rFonts w:asciiTheme="minorHAnsi" w:hAnsiTheme="minorHAnsi" w:cstheme="minorHAnsi"/>
          <w:sz w:val="24"/>
          <w:szCs w:val="24"/>
          <w:lang w:val="hr-HR"/>
        </w:rPr>
        <w:t xml:space="preserve">% nadzemne građevinske bruto površine. </w:t>
      </w:r>
    </w:p>
    <w:p w:rsidR="00315132" w:rsidRPr="00BC00CC" w:rsidRDefault="00315132">
      <w:pPr>
        <w:pStyle w:val="janja"/>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Svi prateći poslovni sadržaji mogu se realizirati uz uvjet da radne aktivnosti ne stvaraju buku ni prašinu, ne zagađuju zrak i tlo te ne zahtijevaju teški transport (korištenje kamiona preko 5 tona nosivosti).</w:t>
      </w:r>
    </w:p>
    <w:p w:rsidR="00315132" w:rsidRPr="00BC00CC" w:rsidRDefault="00315132">
      <w:pPr>
        <w:pStyle w:val="janja"/>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U zonama namjene M1 moguće je na građevnoj čestici  graditi, uz poštivanje ukupne izgrađenosti građevne čestice i iskorištenosti, i pomoćne građevine (gospodarske, spremišta, kotlovnice te iznimno garaže kada to nije moguće u sklopu gabarita osnovne građevine ili u podrumskom dijelu građevine).</w:t>
      </w:r>
    </w:p>
    <w:p w:rsidR="00315132" w:rsidRPr="00BC00CC" w:rsidRDefault="00315132">
      <w:pPr>
        <w:pStyle w:val="janja"/>
        <w:spacing w:after="144"/>
        <w:rPr>
          <w:rFonts w:asciiTheme="minorHAnsi" w:hAnsiTheme="minorHAnsi" w:cstheme="minorHAnsi"/>
          <w:sz w:val="24"/>
          <w:szCs w:val="24"/>
          <w:lang w:val="hr-HR"/>
        </w:rPr>
      </w:pPr>
      <w:r w:rsidRPr="00BC00CC">
        <w:rPr>
          <w:rFonts w:asciiTheme="minorHAnsi" w:hAnsiTheme="minorHAnsi" w:cstheme="minorHAnsi"/>
          <w:sz w:val="24"/>
          <w:szCs w:val="24"/>
          <w:lang w:val="hr-HR"/>
        </w:rPr>
        <w:t>U zonama namjene M1 mogu se na građevnoj čestici  (izvan gabarita građevina) graditi otvoreni sportski sadržaji: bazen, tenisko igralište i sl. Omogućava se gradnja jedne ili više građevina osnovne namjene na građevnoj čestici. Građevine se mogu graditi kao slobodno stojeće ili dvojne uz ograničenja iz PPUO.</w:t>
      </w:r>
    </w:p>
    <w:p w:rsidR="00315132" w:rsidRPr="00BC00CC" w:rsidRDefault="00315132">
      <w:pPr>
        <w:pStyle w:val="janja"/>
        <w:spacing w:after="120"/>
        <w:rPr>
          <w:rFonts w:asciiTheme="minorHAnsi" w:hAnsiTheme="minorHAnsi" w:cstheme="minorHAnsi"/>
          <w:b/>
          <w:color w:val="FF0000"/>
          <w:sz w:val="24"/>
          <w:szCs w:val="24"/>
          <w:lang w:val="hr-HR"/>
        </w:rPr>
      </w:pPr>
      <w:r w:rsidRPr="00BC00CC">
        <w:rPr>
          <w:rFonts w:asciiTheme="minorHAnsi" w:hAnsiTheme="minorHAnsi" w:cstheme="minorHAnsi"/>
          <w:b/>
          <w:sz w:val="24"/>
          <w:szCs w:val="24"/>
          <w:lang w:val="hr-HR"/>
        </w:rPr>
        <w:t>Sportsko rekreacijska namjena –</w:t>
      </w:r>
      <w:r w:rsidR="00BA7B12" w:rsidRPr="00BC00CC">
        <w:rPr>
          <w:rFonts w:asciiTheme="minorHAnsi" w:hAnsiTheme="minorHAnsi" w:cstheme="minorHAnsi"/>
          <w:b/>
          <w:sz w:val="24"/>
          <w:szCs w:val="24"/>
          <w:lang w:val="hr-HR"/>
        </w:rPr>
        <w:t>UP</w:t>
      </w:r>
      <w:r w:rsidR="001D6A62">
        <w:rPr>
          <w:rFonts w:asciiTheme="minorHAnsi" w:hAnsiTheme="minorHAnsi" w:cstheme="minorHAnsi"/>
          <w:b/>
          <w:sz w:val="24"/>
          <w:szCs w:val="24"/>
          <w:lang w:val="hr-HR"/>
        </w:rPr>
        <w:t xml:space="preserve"> -</w:t>
      </w:r>
      <w:r w:rsidR="00317FDB">
        <w:rPr>
          <w:rFonts w:asciiTheme="minorHAnsi" w:hAnsiTheme="minorHAnsi" w:cstheme="minorHAnsi"/>
          <w:b/>
          <w:sz w:val="24"/>
          <w:szCs w:val="24"/>
          <w:lang w:val="hr-HR"/>
        </w:rPr>
        <w:t xml:space="preserve"> kupalište</w:t>
      </w:r>
    </w:p>
    <w:p w:rsidR="00315132" w:rsidRPr="00BC00CC" w:rsidRDefault="00315132">
      <w:pPr>
        <w:pStyle w:val="janja"/>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Zona </w:t>
      </w:r>
      <w:r w:rsidR="00BA7B12" w:rsidRPr="00BC00CC">
        <w:rPr>
          <w:rFonts w:asciiTheme="minorHAnsi" w:hAnsiTheme="minorHAnsi" w:cstheme="minorHAnsi"/>
          <w:sz w:val="24"/>
          <w:szCs w:val="24"/>
          <w:lang w:val="hr-HR"/>
        </w:rPr>
        <w:t>UP</w:t>
      </w:r>
      <w:r w:rsidRPr="00BC00CC">
        <w:rPr>
          <w:rFonts w:asciiTheme="minorHAnsi" w:hAnsiTheme="minorHAnsi" w:cstheme="minorHAnsi"/>
          <w:sz w:val="24"/>
          <w:szCs w:val="24"/>
          <w:lang w:val="hr-HR"/>
        </w:rPr>
        <w:t xml:space="preserve"> odnosi se na prirodnu kamenitu plažu na sjeveru obuhvata UPU-a. Planira se uređenje plaže u kupalište za lokalno stanovništvo i turiste, sa svim potrebnim pratećim sadržajima</w:t>
      </w:r>
      <w:r w:rsidR="000C702E" w:rsidRPr="00BC00CC">
        <w:rPr>
          <w:rFonts w:asciiTheme="minorHAnsi" w:hAnsiTheme="minorHAnsi" w:cstheme="minorHAnsi"/>
          <w:sz w:val="24"/>
          <w:szCs w:val="24"/>
        </w:rPr>
        <w:t>( tuševi, kabine za presvlačenje, sanitarni prostori, sunčališta, prostori za usluživanje hrane i pića, iznajmljivanje naprava za sportove na moru i sl.).</w:t>
      </w:r>
      <w:r w:rsidRPr="00BC00CC">
        <w:rPr>
          <w:rFonts w:asciiTheme="minorHAnsi" w:hAnsiTheme="minorHAnsi" w:cstheme="minorHAnsi"/>
          <w:sz w:val="24"/>
          <w:szCs w:val="24"/>
          <w:lang w:val="hr-HR"/>
        </w:rPr>
        <w:t xml:space="preserve"> Štiti se prirodni stjenovit karakter obale uz minimalne intervencije.</w:t>
      </w:r>
    </w:p>
    <w:p w:rsidR="00315132" w:rsidRPr="00BC00CC" w:rsidRDefault="00315132">
      <w:pPr>
        <w:pStyle w:val="janja"/>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Zabranjuje se gradnja čvrstih građevina na plaži, osim objekata infrastrukture. Omogućava se smještaj ugostiteljskog sadržaja površine maksimalno 15 m</w:t>
      </w:r>
      <w:r w:rsidRPr="00BC00CC">
        <w:rPr>
          <w:rFonts w:asciiTheme="minorHAnsi" w:hAnsiTheme="minorHAnsi" w:cstheme="minorHAnsi"/>
          <w:sz w:val="24"/>
          <w:szCs w:val="24"/>
          <w:vertAlign w:val="superscript"/>
          <w:lang w:val="hr-HR"/>
        </w:rPr>
        <w:t>2</w:t>
      </w:r>
      <w:r w:rsidRPr="00BC00CC">
        <w:rPr>
          <w:rFonts w:asciiTheme="minorHAnsi" w:hAnsiTheme="minorHAnsi" w:cstheme="minorHAnsi"/>
          <w:sz w:val="24"/>
          <w:szCs w:val="24"/>
          <w:lang w:val="hr-HR"/>
        </w:rPr>
        <w:t>, montažnog tipa, pretežito od prirodnih materijala (drvo, pokrov od trske i sl.). Planira se opremanje plaže pratećom opremom (tuš, platnene kabine za presvlačenje...). Omogućava se postavljanje drvenih platoa za sunčanje površine maksimalno 12 m</w:t>
      </w:r>
      <w:r w:rsidRPr="00BC00CC">
        <w:rPr>
          <w:rFonts w:asciiTheme="minorHAnsi" w:hAnsiTheme="minorHAnsi" w:cstheme="minorHAnsi"/>
          <w:sz w:val="24"/>
          <w:szCs w:val="24"/>
          <w:vertAlign w:val="superscript"/>
          <w:lang w:val="hr-HR"/>
        </w:rPr>
        <w:t>2</w:t>
      </w:r>
      <w:r w:rsidRPr="00BC00CC">
        <w:rPr>
          <w:rFonts w:asciiTheme="minorHAnsi" w:hAnsiTheme="minorHAnsi" w:cstheme="minorHAnsi"/>
          <w:sz w:val="24"/>
          <w:szCs w:val="24"/>
          <w:lang w:val="hr-HR"/>
        </w:rPr>
        <w:t>. Platoi su montažni i usidreni u stijene na obali, a manjim dijelom se mogu nalaziti iznad površine mora.</w:t>
      </w:r>
    </w:p>
    <w:p w:rsidR="00315132" w:rsidRPr="00BC00CC" w:rsidRDefault="00315132">
      <w:pPr>
        <w:pStyle w:val="janja"/>
        <w:spacing w:after="144"/>
        <w:rPr>
          <w:rFonts w:asciiTheme="minorHAnsi" w:hAnsiTheme="minorHAnsi" w:cstheme="minorHAnsi"/>
          <w:sz w:val="24"/>
          <w:szCs w:val="24"/>
          <w:lang w:val="hr-HR"/>
        </w:rPr>
      </w:pPr>
      <w:r w:rsidRPr="00BC00CC">
        <w:rPr>
          <w:rFonts w:asciiTheme="minorHAnsi" w:hAnsiTheme="minorHAnsi" w:cstheme="minorHAnsi"/>
          <w:sz w:val="24"/>
          <w:szCs w:val="24"/>
          <w:lang w:val="hr-HR"/>
        </w:rPr>
        <w:t>Plaža treba biti nadzirana i javno pristupačna s kopnene i morske strane, bez arhitektonskih barijera za osobe s poteškoćama u kretanju.</w:t>
      </w:r>
    </w:p>
    <w:p w:rsidR="00FE667A" w:rsidRPr="00BC00CC" w:rsidRDefault="00FE667A" w:rsidP="00192DE5">
      <w:pPr>
        <w:pStyle w:val="janja"/>
        <w:spacing w:after="144"/>
        <w:rPr>
          <w:rFonts w:asciiTheme="minorHAnsi" w:hAnsiTheme="minorHAnsi" w:cstheme="minorHAnsi"/>
          <w:sz w:val="24"/>
          <w:szCs w:val="24"/>
          <w:lang w:val="hr-HR"/>
        </w:rPr>
      </w:pPr>
      <w:r w:rsidRPr="00FE667A">
        <w:rPr>
          <w:rFonts w:asciiTheme="minorHAnsi" w:hAnsiTheme="minorHAnsi" w:cstheme="minorHAnsi"/>
          <w:sz w:val="24"/>
          <w:szCs w:val="24"/>
          <w:lang w:val="hr-HR"/>
        </w:rPr>
        <w:t>Na planiranoj uređenoj  plaži (UP-kupalište) propisuje se izrada idejnog maritimnog projekta</w:t>
      </w:r>
      <w:r>
        <w:rPr>
          <w:rFonts w:asciiTheme="minorHAnsi" w:hAnsiTheme="minorHAnsi" w:cstheme="minorHAnsi"/>
          <w:sz w:val="24"/>
          <w:szCs w:val="24"/>
          <w:lang w:val="hr-HR"/>
        </w:rPr>
        <w:t xml:space="preserve"> kojim će se omogućiti intervencije na obalnom rubu u smislu oblikovanja plaže (održavanje nasipa šljunka, uređenje platoa i sunčališta), i njene zaštite (izgradnja manjih pera). Prateći sadržaji kupališta mogu se smjestiti u pokretnim napravama.</w:t>
      </w:r>
    </w:p>
    <w:p w:rsidR="006A35D3" w:rsidRDefault="006A35D3">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1D6A62" w:rsidRDefault="001D6A62">
      <w:pPr>
        <w:pStyle w:val="janja"/>
        <w:spacing w:after="144"/>
        <w:rPr>
          <w:lang w:val="hr-HR"/>
        </w:rPr>
      </w:pPr>
    </w:p>
    <w:p w:rsidR="00315132" w:rsidRPr="00BC00CC" w:rsidRDefault="00315132">
      <w:pPr>
        <w:pStyle w:val="janja"/>
        <w:spacing w:after="40"/>
        <w:rPr>
          <w:rFonts w:asciiTheme="minorHAnsi" w:hAnsiTheme="minorHAnsi" w:cstheme="minorHAnsi"/>
          <w:b/>
          <w:sz w:val="24"/>
          <w:szCs w:val="24"/>
          <w:lang w:val="hr-HR"/>
        </w:rPr>
      </w:pPr>
      <w:r w:rsidRPr="00BC00CC">
        <w:rPr>
          <w:rFonts w:asciiTheme="minorHAnsi" w:hAnsiTheme="minorHAnsi" w:cstheme="minorHAnsi"/>
          <w:b/>
          <w:sz w:val="24"/>
          <w:szCs w:val="24"/>
          <w:lang w:val="hr-HR"/>
        </w:rPr>
        <w:lastRenderedPageBreak/>
        <w:t>Bilans površina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276"/>
        <w:gridCol w:w="1417"/>
        <w:gridCol w:w="1418"/>
      </w:tblGrid>
      <w:tr w:rsidR="00315132" w:rsidRPr="00BC00CC">
        <w:tc>
          <w:tcPr>
            <w:tcW w:w="4928" w:type="dxa"/>
            <w:tcBorders>
              <w:top w:val="single" w:sz="12" w:space="0" w:color="auto"/>
              <w:left w:val="single" w:sz="12" w:space="0" w:color="auto"/>
              <w:bottom w:val="single" w:sz="18" w:space="0" w:color="auto"/>
              <w:right w:val="single" w:sz="12" w:space="0" w:color="auto"/>
            </w:tcBorders>
          </w:tcPr>
          <w:p w:rsidR="00315132" w:rsidRPr="00BC00CC" w:rsidRDefault="00315132">
            <w:pPr>
              <w:pStyle w:val="janja"/>
              <w:spacing w:before="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NAMJENA</w:t>
            </w:r>
          </w:p>
        </w:tc>
        <w:tc>
          <w:tcPr>
            <w:tcW w:w="1276" w:type="dxa"/>
            <w:tcBorders>
              <w:top w:val="single" w:sz="12" w:space="0" w:color="auto"/>
              <w:left w:val="nil"/>
              <w:bottom w:val="single" w:sz="18" w:space="0" w:color="auto"/>
              <w:right w:val="single" w:sz="12" w:space="0" w:color="auto"/>
            </w:tcBorders>
          </w:tcPr>
          <w:p w:rsidR="00315132" w:rsidRPr="00BC00CC" w:rsidRDefault="00315132">
            <w:pPr>
              <w:pStyle w:val="janja"/>
              <w:spacing w:before="40" w:after="144"/>
              <w:jc w:val="center"/>
              <w:rPr>
                <w:rFonts w:asciiTheme="minorHAnsi" w:hAnsiTheme="minorHAnsi" w:cstheme="minorHAnsi"/>
                <w:b/>
                <w:sz w:val="24"/>
                <w:szCs w:val="24"/>
                <w:lang w:val="hr-HR"/>
              </w:rPr>
            </w:pPr>
            <w:r w:rsidRPr="00BC00CC">
              <w:rPr>
                <w:rFonts w:asciiTheme="minorHAnsi" w:hAnsiTheme="minorHAnsi" w:cstheme="minorHAnsi"/>
                <w:b/>
                <w:sz w:val="24"/>
                <w:szCs w:val="24"/>
                <w:lang w:val="hr-HR"/>
              </w:rPr>
              <w:t>P (m</w:t>
            </w:r>
            <w:r w:rsidRPr="00BC00CC">
              <w:rPr>
                <w:rFonts w:asciiTheme="minorHAnsi" w:hAnsiTheme="minorHAnsi" w:cstheme="minorHAnsi"/>
                <w:sz w:val="24"/>
                <w:szCs w:val="24"/>
                <w:vertAlign w:val="superscript"/>
                <w:lang w:val="hr-HR"/>
              </w:rPr>
              <w:t>2</w:t>
            </w:r>
            <w:r w:rsidRPr="00BC00CC">
              <w:rPr>
                <w:rFonts w:asciiTheme="minorHAnsi" w:hAnsiTheme="minorHAnsi" w:cstheme="minorHAnsi"/>
                <w:b/>
                <w:sz w:val="24"/>
                <w:szCs w:val="24"/>
                <w:lang w:val="hr-HR"/>
              </w:rPr>
              <w:t>)</w:t>
            </w:r>
          </w:p>
        </w:tc>
        <w:tc>
          <w:tcPr>
            <w:tcW w:w="1417" w:type="dxa"/>
            <w:tcBorders>
              <w:top w:val="single" w:sz="12" w:space="0" w:color="auto"/>
              <w:left w:val="nil"/>
              <w:bottom w:val="single" w:sz="18" w:space="0" w:color="auto"/>
              <w:right w:val="single" w:sz="12" w:space="0" w:color="auto"/>
            </w:tcBorders>
          </w:tcPr>
          <w:p w:rsidR="00315132" w:rsidRPr="00BC00CC" w:rsidRDefault="00315132">
            <w:pPr>
              <w:pStyle w:val="janja"/>
              <w:spacing w:before="40" w:after="144"/>
              <w:jc w:val="center"/>
              <w:rPr>
                <w:rFonts w:asciiTheme="minorHAnsi" w:hAnsiTheme="minorHAnsi" w:cstheme="minorHAnsi"/>
                <w:b/>
                <w:sz w:val="24"/>
                <w:szCs w:val="24"/>
                <w:lang w:val="hr-HR"/>
              </w:rPr>
            </w:pPr>
            <w:r w:rsidRPr="00BC00CC">
              <w:rPr>
                <w:rFonts w:asciiTheme="minorHAnsi" w:hAnsiTheme="minorHAnsi" w:cstheme="minorHAnsi"/>
                <w:b/>
                <w:sz w:val="24"/>
                <w:szCs w:val="24"/>
                <w:lang w:val="hr-HR"/>
              </w:rPr>
              <w:t>P (ha)</w:t>
            </w:r>
          </w:p>
        </w:tc>
        <w:tc>
          <w:tcPr>
            <w:tcW w:w="1418" w:type="dxa"/>
            <w:tcBorders>
              <w:top w:val="single" w:sz="12" w:space="0" w:color="auto"/>
              <w:left w:val="nil"/>
              <w:bottom w:val="single" w:sz="18" w:space="0" w:color="auto"/>
              <w:right w:val="single" w:sz="12" w:space="0" w:color="auto"/>
            </w:tcBorders>
          </w:tcPr>
          <w:p w:rsidR="00315132" w:rsidRPr="00BC00CC" w:rsidRDefault="00315132">
            <w:pPr>
              <w:pStyle w:val="janja"/>
              <w:spacing w:before="40" w:after="144"/>
              <w:jc w:val="center"/>
              <w:rPr>
                <w:rFonts w:asciiTheme="minorHAnsi" w:hAnsiTheme="minorHAnsi" w:cstheme="minorHAnsi"/>
                <w:b/>
                <w:sz w:val="24"/>
                <w:szCs w:val="24"/>
                <w:lang w:val="hr-HR"/>
              </w:rPr>
            </w:pPr>
            <w:r w:rsidRPr="00BC00CC">
              <w:rPr>
                <w:rFonts w:asciiTheme="minorHAnsi" w:hAnsiTheme="minorHAnsi" w:cstheme="minorHAnsi"/>
                <w:b/>
                <w:sz w:val="24"/>
                <w:szCs w:val="24"/>
                <w:lang w:val="hr-HR"/>
              </w:rPr>
              <w:t>%</w:t>
            </w:r>
          </w:p>
        </w:tc>
      </w:tr>
      <w:tr w:rsidR="00315132" w:rsidRPr="00BC00CC" w:rsidTr="00EA5891">
        <w:trPr>
          <w:trHeight w:hRule="exact" w:val="551"/>
        </w:trPr>
        <w:tc>
          <w:tcPr>
            <w:tcW w:w="4928" w:type="dxa"/>
            <w:tcBorders>
              <w:top w:val="single" w:sz="18" w:space="0" w:color="auto"/>
              <w:left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MJEŠOVITA, PRETEŽITO STAMBENA M1</w:t>
            </w:r>
          </w:p>
        </w:tc>
        <w:tc>
          <w:tcPr>
            <w:tcW w:w="1276" w:type="dxa"/>
            <w:tcBorders>
              <w:top w:val="single" w:sz="18" w:space="0" w:color="auto"/>
              <w:left w:val="nil"/>
              <w:right w:val="single" w:sz="12" w:space="0" w:color="auto"/>
            </w:tcBorders>
          </w:tcPr>
          <w:p w:rsidR="00EA5891" w:rsidRPr="00BC00CC" w:rsidRDefault="00EA5891" w:rsidP="00EA5891">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142822</w:t>
            </w:r>
          </w:p>
          <w:p w:rsidR="00315132" w:rsidRPr="00BC00CC" w:rsidRDefault="00315132">
            <w:pPr>
              <w:pStyle w:val="janja"/>
              <w:spacing w:before="40" w:after="144"/>
              <w:jc w:val="right"/>
              <w:rPr>
                <w:rFonts w:asciiTheme="minorHAnsi" w:hAnsiTheme="minorHAnsi" w:cstheme="minorHAnsi"/>
                <w:strike/>
                <w:sz w:val="24"/>
                <w:szCs w:val="24"/>
                <w:lang w:val="hr-HR"/>
              </w:rPr>
            </w:pPr>
          </w:p>
          <w:p w:rsidR="00EA5891" w:rsidRPr="00BC00CC" w:rsidRDefault="00EA5891">
            <w:pPr>
              <w:pStyle w:val="janja"/>
              <w:spacing w:before="40" w:after="144"/>
              <w:jc w:val="right"/>
              <w:rPr>
                <w:rFonts w:asciiTheme="minorHAnsi" w:hAnsiTheme="minorHAnsi" w:cstheme="minorHAnsi"/>
                <w:strike/>
                <w:sz w:val="24"/>
                <w:szCs w:val="24"/>
                <w:lang w:val="hr-HR"/>
              </w:rPr>
            </w:pPr>
          </w:p>
          <w:p w:rsidR="00EA5891" w:rsidRPr="00BC00CC" w:rsidRDefault="00EA5891">
            <w:pPr>
              <w:pStyle w:val="janja"/>
              <w:spacing w:before="40" w:after="144"/>
              <w:jc w:val="right"/>
              <w:rPr>
                <w:rFonts w:asciiTheme="minorHAnsi" w:hAnsiTheme="minorHAnsi" w:cstheme="minorHAnsi"/>
                <w:strike/>
                <w:sz w:val="24"/>
                <w:szCs w:val="24"/>
                <w:lang w:val="hr-HR"/>
              </w:rPr>
            </w:pPr>
          </w:p>
        </w:tc>
        <w:tc>
          <w:tcPr>
            <w:tcW w:w="1417" w:type="dxa"/>
            <w:tcBorders>
              <w:top w:val="single" w:sz="18" w:space="0" w:color="auto"/>
              <w:left w:val="nil"/>
              <w:right w:val="single" w:sz="12" w:space="0" w:color="auto"/>
            </w:tcBorders>
          </w:tcPr>
          <w:p w:rsidR="00315132" w:rsidRPr="00BC00CC" w:rsidRDefault="00EA5891" w:rsidP="00EA5891">
            <w:pPr>
              <w:pStyle w:val="janja"/>
              <w:spacing w:before="40" w:after="144"/>
              <w:rPr>
                <w:rFonts w:asciiTheme="minorHAnsi" w:hAnsiTheme="minorHAnsi" w:cstheme="minorHAnsi"/>
                <w:strike/>
                <w:sz w:val="24"/>
                <w:szCs w:val="24"/>
                <w:lang w:val="hr-HR"/>
              </w:rPr>
            </w:pPr>
            <w:r w:rsidRPr="00BC00CC">
              <w:rPr>
                <w:rFonts w:asciiTheme="minorHAnsi" w:hAnsiTheme="minorHAnsi" w:cstheme="minorHAnsi"/>
                <w:sz w:val="24"/>
                <w:szCs w:val="24"/>
                <w:lang w:val="hr-HR"/>
              </w:rPr>
              <w:t>14,28</w:t>
            </w:r>
          </w:p>
          <w:p w:rsidR="00EA5891" w:rsidRPr="00BC00CC" w:rsidRDefault="00EA5891">
            <w:pPr>
              <w:pStyle w:val="janja"/>
              <w:spacing w:before="40" w:after="144"/>
              <w:jc w:val="right"/>
              <w:rPr>
                <w:rFonts w:asciiTheme="minorHAnsi" w:hAnsiTheme="minorHAnsi" w:cstheme="minorHAnsi"/>
                <w:strike/>
                <w:sz w:val="24"/>
                <w:szCs w:val="24"/>
                <w:lang w:val="hr-HR"/>
              </w:rPr>
            </w:pPr>
          </w:p>
        </w:tc>
        <w:tc>
          <w:tcPr>
            <w:tcW w:w="1418" w:type="dxa"/>
            <w:tcBorders>
              <w:top w:val="single" w:sz="18" w:space="0" w:color="auto"/>
              <w:left w:val="nil"/>
              <w:right w:val="single" w:sz="12" w:space="0" w:color="auto"/>
            </w:tcBorders>
          </w:tcPr>
          <w:p w:rsidR="00315132" w:rsidRPr="00BC00CC" w:rsidRDefault="00EA5891" w:rsidP="00EA5891">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80,8</w:t>
            </w:r>
          </w:p>
        </w:tc>
      </w:tr>
      <w:tr w:rsidR="00315132" w:rsidRPr="00BC00CC" w:rsidTr="00E47B16">
        <w:trPr>
          <w:trHeight w:hRule="exact" w:val="537"/>
        </w:trPr>
        <w:tc>
          <w:tcPr>
            <w:tcW w:w="4928" w:type="dxa"/>
            <w:tcBorders>
              <w:left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IZGRAĐENO</w:t>
            </w:r>
          </w:p>
        </w:tc>
        <w:tc>
          <w:tcPr>
            <w:tcW w:w="1276" w:type="dxa"/>
            <w:tcBorders>
              <w:left w:val="nil"/>
              <w:right w:val="single" w:sz="12" w:space="0" w:color="auto"/>
            </w:tcBorders>
          </w:tcPr>
          <w:p w:rsidR="00315132" w:rsidRPr="00BC00CC" w:rsidRDefault="00EA5891" w:rsidP="00EA5891">
            <w:pPr>
              <w:pStyle w:val="janja"/>
              <w:spacing w:before="40" w:after="144"/>
              <w:rPr>
                <w:rFonts w:asciiTheme="minorHAnsi" w:hAnsiTheme="minorHAnsi" w:cstheme="minorHAnsi"/>
                <w:strike/>
                <w:sz w:val="24"/>
                <w:szCs w:val="24"/>
                <w:lang w:val="hr-HR"/>
              </w:rPr>
            </w:pPr>
            <w:r w:rsidRPr="00BC00CC">
              <w:rPr>
                <w:rFonts w:asciiTheme="minorHAnsi" w:hAnsiTheme="minorHAnsi" w:cstheme="minorHAnsi"/>
                <w:sz w:val="24"/>
                <w:szCs w:val="24"/>
                <w:lang w:val="hr-HR"/>
              </w:rPr>
              <w:t xml:space="preserve">38047 </w:t>
            </w:r>
          </w:p>
          <w:p w:rsidR="00A87072" w:rsidRPr="00BC00CC" w:rsidRDefault="00A87072" w:rsidP="00EA5891">
            <w:pPr>
              <w:pStyle w:val="janja"/>
              <w:spacing w:before="40" w:after="144"/>
              <w:rPr>
                <w:rFonts w:asciiTheme="minorHAnsi" w:hAnsiTheme="minorHAnsi" w:cstheme="minorHAnsi"/>
                <w:sz w:val="24"/>
                <w:szCs w:val="24"/>
                <w:lang w:val="hr-HR"/>
              </w:rPr>
            </w:pPr>
          </w:p>
        </w:tc>
        <w:tc>
          <w:tcPr>
            <w:tcW w:w="1417" w:type="dxa"/>
            <w:tcBorders>
              <w:left w:val="nil"/>
              <w:right w:val="single" w:sz="12" w:space="0" w:color="auto"/>
            </w:tcBorders>
          </w:tcPr>
          <w:p w:rsidR="00315132" w:rsidRPr="00BC00CC" w:rsidRDefault="00EA5891" w:rsidP="00EA5891">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3,8</w:t>
            </w:r>
          </w:p>
        </w:tc>
        <w:tc>
          <w:tcPr>
            <w:tcW w:w="1418"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21,52</w:t>
            </w:r>
          </w:p>
          <w:p w:rsidR="00A87072" w:rsidRPr="00BC00CC" w:rsidRDefault="00A87072" w:rsidP="00C111A9">
            <w:pPr>
              <w:pStyle w:val="janja"/>
              <w:spacing w:before="40" w:after="144"/>
              <w:rPr>
                <w:rFonts w:asciiTheme="minorHAnsi" w:hAnsiTheme="minorHAnsi" w:cstheme="minorHAnsi"/>
                <w:sz w:val="24"/>
                <w:szCs w:val="24"/>
                <w:lang w:val="hr-HR"/>
              </w:rPr>
            </w:pPr>
          </w:p>
        </w:tc>
      </w:tr>
      <w:tr w:rsidR="00315132" w:rsidRPr="00BC00CC" w:rsidTr="00E47B16">
        <w:trPr>
          <w:trHeight w:hRule="exact" w:val="715"/>
        </w:trPr>
        <w:tc>
          <w:tcPr>
            <w:tcW w:w="4928" w:type="dxa"/>
            <w:tcBorders>
              <w:left w:val="single" w:sz="12" w:space="0" w:color="auto"/>
              <w:bottom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NEIZGRAĐENO</w:t>
            </w:r>
          </w:p>
        </w:tc>
        <w:tc>
          <w:tcPr>
            <w:tcW w:w="1276" w:type="dxa"/>
            <w:tcBorders>
              <w:left w:val="nil"/>
              <w:bottom w:val="single" w:sz="12" w:space="0" w:color="auto"/>
              <w:right w:val="single" w:sz="12" w:space="0" w:color="auto"/>
            </w:tcBorders>
          </w:tcPr>
          <w:p w:rsidR="00315132" w:rsidRPr="00BC00CC" w:rsidRDefault="00E47B16" w:rsidP="00C111A9">
            <w:pPr>
              <w:pStyle w:val="janja"/>
              <w:spacing w:before="40" w:after="144"/>
              <w:rPr>
                <w:rFonts w:asciiTheme="minorHAnsi" w:hAnsiTheme="minorHAnsi" w:cstheme="minorHAnsi"/>
                <w:strike/>
                <w:sz w:val="24"/>
                <w:szCs w:val="24"/>
                <w:lang w:val="hr-HR"/>
              </w:rPr>
            </w:pPr>
            <w:r w:rsidRPr="00BC00CC">
              <w:rPr>
                <w:rFonts w:asciiTheme="minorHAnsi" w:hAnsiTheme="minorHAnsi" w:cstheme="minorHAnsi"/>
                <w:sz w:val="24"/>
                <w:szCs w:val="24"/>
                <w:lang w:val="hr-HR"/>
              </w:rPr>
              <w:t>104</w:t>
            </w:r>
            <w:r w:rsidR="00C111A9" w:rsidRPr="00BC00CC">
              <w:rPr>
                <w:rFonts w:asciiTheme="minorHAnsi" w:hAnsiTheme="minorHAnsi" w:cstheme="minorHAnsi"/>
                <w:sz w:val="24"/>
                <w:szCs w:val="24"/>
                <w:lang w:val="hr-HR"/>
              </w:rPr>
              <w:t>775</w:t>
            </w:r>
          </w:p>
        </w:tc>
        <w:tc>
          <w:tcPr>
            <w:tcW w:w="1417" w:type="dxa"/>
            <w:tcBorders>
              <w:left w:val="nil"/>
              <w:bottom w:val="single" w:sz="12" w:space="0" w:color="auto"/>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10,48</w:t>
            </w:r>
          </w:p>
        </w:tc>
        <w:tc>
          <w:tcPr>
            <w:tcW w:w="1418" w:type="dxa"/>
            <w:tcBorders>
              <w:left w:val="nil"/>
              <w:bottom w:val="single" w:sz="12" w:space="0" w:color="auto"/>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59,28</w:t>
            </w:r>
          </w:p>
          <w:p w:rsidR="009B67AE" w:rsidRPr="00BC00CC" w:rsidRDefault="009B67AE" w:rsidP="00C111A9">
            <w:pPr>
              <w:pStyle w:val="janja"/>
              <w:spacing w:before="40" w:after="144"/>
              <w:rPr>
                <w:rFonts w:asciiTheme="minorHAnsi" w:hAnsiTheme="minorHAnsi" w:cstheme="minorHAnsi"/>
                <w:sz w:val="24"/>
                <w:szCs w:val="24"/>
                <w:lang w:val="hr-HR"/>
              </w:rPr>
            </w:pPr>
          </w:p>
        </w:tc>
      </w:tr>
      <w:tr w:rsidR="00315132" w:rsidRPr="00BC00CC">
        <w:trPr>
          <w:trHeight w:hRule="exact" w:val="400"/>
        </w:trPr>
        <w:tc>
          <w:tcPr>
            <w:tcW w:w="4928" w:type="dxa"/>
            <w:tcBorders>
              <w:top w:val="single" w:sz="12" w:space="0" w:color="auto"/>
              <w:left w:val="single" w:sz="12" w:space="0" w:color="auto"/>
              <w:bottom w:val="single" w:sz="12" w:space="0" w:color="auto"/>
              <w:right w:val="single" w:sz="12" w:space="0" w:color="auto"/>
            </w:tcBorders>
          </w:tcPr>
          <w:p w:rsidR="00315132" w:rsidRPr="00BC00CC" w:rsidRDefault="00315132" w:rsidP="00E81CCF">
            <w:pPr>
              <w:pStyle w:val="janja"/>
              <w:spacing w:before="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 xml:space="preserve">UREĐENA PLAŽA </w:t>
            </w:r>
            <w:r w:rsidR="00322D67" w:rsidRPr="00BC00CC">
              <w:rPr>
                <w:rFonts w:asciiTheme="minorHAnsi" w:hAnsiTheme="minorHAnsi" w:cstheme="minorHAnsi"/>
                <w:b/>
                <w:sz w:val="24"/>
                <w:szCs w:val="24"/>
                <w:lang w:val="hr-HR"/>
              </w:rPr>
              <w:t>UP</w:t>
            </w:r>
          </w:p>
        </w:tc>
        <w:tc>
          <w:tcPr>
            <w:tcW w:w="1276" w:type="dxa"/>
            <w:tcBorders>
              <w:top w:val="single" w:sz="12" w:space="0" w:color="auto"/>
              <w:left w:val="nil"/>
              <w:bottom w:val="single" w:sz="12" w:space="0" w:color="auto"/>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13172</w:t>
            </w:r>
          </w:p>
        </w:tc>
        <w:tc>
          <w:tcPr>
            <w:tcW w:w="1417" w:type="dxa"/>
            <w:tcBorders>
              <w:top w:val="single" w:sz="12" w:space="0" w:color="auto"/>
              <w:left w:val="nil"/>
              <w:bottom w:val="single" w:sz="12" w:space="0" w:color="auto"/>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1,32</w:t>
            </w:r>
          </w:p>
        </w:tc>
        <w:tc>
          <w:tcPr>
            <w:tcW w:w="1418" w:type="dxa"/>
            <w:tcBorders>
              <w:top w:val="single" w:sz="12" w:space="0" w:color="auto"/>
              <w:left w:val="nil"/>
              <w:bottom w:val="single" w:sz="12" w:space="0" w:color="auto"/>
              <w:right w:val="single" w:sz="12" w:space="0" w:color="auto"/>
            </w:tcBorders>
          </w:tcPr>
          <w:p w:rsidR="00315132" w:rsidRPr="00BC00CC" w:rsidRDefault="00C111A9" w:rsidP="00E81CCF">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7,45</w:t>
            </w:r>
          </w:p>
        </w:tc>
      </w:tr>
      <w:tr w:rsidR="00315132" w:rsidTr="00E47B16">
        <w:trPr>
          <w:trHeight w:hRule="exact" w:val="613"/>
        </w:trPr>
        <w:tc>
          <w:tcPr>
            <w:tcW w:w="4928" w:type="dxa"/>
            <w:tcBorders>
              <w:top w:val="single" w:sz="12" w:space="0" w:color="auto"/>
              <w:left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JAVNE PROMETNICE</w:t>
            </w:r>
          </w:p>
        </w:tc>
        <w:tc>
          <w:tcPr>
            <w:tcW w:w="1276" w:type="dxa"/>
            <w:tcBorders>
              <w:top w:val="single" w:sz="12" w:space="0" w:color="auto"/>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20741</w:t>
            </w:r>
          </w:p>
        </w:tc>
        <w:tc>
          <w:tcPr>
            <w:tcW w:w="1417" w:type="dxa"/>
            <w:tcBorders>
              <w:top w:val="single" w:sz="12" w:space="0" w:color="auto"/>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2,07</w:t>
            </w:r>
          </w:p>
        </w:tc>
        <w:tc>
          <w:tcPr>
            <w:tcW w:w="1418" w:type="dxa"/>
            <w:tcBorders>
              <w:top w:val="single" w:sz="12" w:space="0" w:color="auto"/>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11,75</w:t>
            </w:r>
          </w:p>
        </w:tc>
      </w:tr>
      <w:tr w:rsidR="00315132">
        <w:trPr>
          <w:trHeight w:hRule="exact" w:val="400"/>
        </w:trPr>
        <w:tc>
          <w:tcPr>
            <w:tcW w:w="4928" w:type="dxa"/>
            <w:tcBorders>
              <w:left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KOLNE</w:t>
            </w:r>
          </w:p>
        </w:tc>
        <w:tc>
          <w:tcPr>
            <w:tcW w:w="1276"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 8994</w:t>
            </w:r>
          </w:p>
        </w:tc>
        <w:tc>
          <w:tcPr>
            <w:tcW w:w="1417"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0,90</w:t>
            </w:r>
          </w:p>
        </w:tc>
        <w:tc>
          <w:tcPr>
            <w:tcW w:w="1418"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5,1</w:t>
            </w:r>
          </w:p>
        </w:tc>
      </w:tr>
      <w:tr w:rsidR="00315132">
        <w:trPr>
          <w:trHeight w:hRule="exact" w:val="400"/>
        </w:trPr>
        <w:tc>
          <w:tcPr>
            <w:tcW w:w="4928" w:type="dxa"/>
            <w:tcBorders>
              <w:left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PJEŠAČKE</w:t>
            </w:r>
          </w:p>
        </w:tc>
        <w:tc>
          <w:tcPr>
            <w:tcW w:w="1276"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  2307</w:t>
            </w:r>
          </w:p>
        </w:tc>
        <w:tc>
          <w:tcPr>
            <w:tcW w:w="1417"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0,23</w:t>
            </w:r>
          </w:p>
        </w:tc>
        <w:tc>
          <w:tcPr>
            <w:tcW w:w="1418" w:type="dxa"/>
            <w:tcBorders>
              <w:left w:val="nil"/>
              <w:right w:val="single" w:sz="12" w:space="0" w:color="auto"/>
            </w:tcBorders>
          </w:tcPr>
          <w:p w:rsidR="00315132" w:rsidRPr="00BC00CC" w:rsidRDefault="00C111A9"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1,30</w:t>
            </w:r>
          </w:p>
        </w:tc>
      </w:tr>
      <w:tr w:rsidR="00315132">
        <w:trPr>
          <w:trHeight w:hRule="exact" w:val="400"/>
        </w:trPr>
        <w:tc>
          <w:tcPr>
            <w:tcW w:w="4928" w:type="dxa"/>
            <w:tcBorders>
              <w:left w:val="single" w:sz="12" w:space="0" w:color="auto"/>
              <w:bottom w:val="single" w:sz="18" w:space="0" w:color="auto"/>
              <w:right w:val="single" w:sz="12" w:space="0" w:color="auto"/>
            </w:tcBorders>
          </w:tcPr>
          <w:p w:rsidR="00315132" w:rsidRPr="00BC00CC" w:rsidRDefault="00315132">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KOLNO-PJEŠAČKE</w:t>
            </w:r>
          </w:p>
        </w:tc>
        <w:tc>
          <w:tcPr>
            <w:tcW w:w="1276" w:type="dxa"/>
            <w:tcBorders>
              <w:left w:val="nil"/>
              <w:bottom w:val="single" w:sz="18" w:space="0" w:color="auto"/>
              <w:right w:val="single" w:sz="12" w:space="0" w:color="auto"/>
            </w:tcBorders>
          </w:tcPr>
          <w:p w:rsidR="00315132" w:rsidRPr="00BC00CC" w:rsidRDefault="009B67AE" w:rsidP="00C111A9">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9440</w:t>
            </w:r>
          </w:p>
        </w:tc>
        <w:tc>
          <w:tcPr>
            <w:tcW w:w="1417" w:type="dxa"/>
            <w:tcBorders>
              <w:left w:val="nil"/>
              <w:bottom w:val="single" w:sz="18" w:space="0" w:color="auto"/>
              <w:right w:val="single" w:sz="12" w:space="0" w:color="auto"/>
            </w:tcBorders>
          </w:tcPr>
          <w:p w:rsidR="00315132" w:rsidRPr="00BC00CC" w:rsidRDefault="009B67AE" w:rsidP="009B67AE">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0.99</w:t>
            </w:r>
          </w:p>
        </w:tc>
        <w:tc>
          <w:tcPr>
            <w:tcW w:w="1418" w:type="dxa"/>
            <w:tcBorders>
              <w:left w:val="nil"/>
              <w:bottom w:val="single" w:sz="18" w:space="0" w:color="auto"/>
              <w:right w:val="single" w:sz="12" w:space="0" w:color="auto"/>
            </w:tcBorders>
          </w:tcPr>
          <w:p w:rsidR="00315132" w:rsidRPr="00BC00CC" w:rsidRDefault="009B67AE" w:rsidP="009B67AE">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5,35</w:t>
            </w:r>
          </w:p>
        </w:tc>
      </w:tr>
      <w:tr w:rsidR="00315132" w:rsidTr="00E47B16">
        <w:trPr>
          <w:trHeight w:hRule="exact" w:val="640"/>
        </w:trPr>
        <w:tc>
          <w:tcPr>
            <w:tcW w:w="4928" w:type="dxa"/>
            <w:tcBorders>
              <w:top w:val="single" w:sz="18" w:space="0" w:color="auto"/>
              <w:left w:val="single" w:sz="12" w:space="0" w:color="auto"/>
              <w:bottom w:val="single" w:sz="12" w:space="0" w:color="auto"/>
              <w:right w:val="single" w:sz="12" w:space="0" w:color="auto"/>
            </w:tcBorders>
          </w:tcPr>
          <w:p w:rsidR="00315132" w:rsidRPr="00BC00CC" w:rsidRDefault="00315132">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UKUPNO</w:t>
            </w:r>
          </w:p>
        </w:tc>
        <w:tc>
          <w:tcPr>
            <w:tcW w:w="1276" w:type="dxa"/>
            <w:tcBorders>
              <w:top w:val="single" w:sz="18" w:space="0" w:color="auto"/>
              <w:left w:val="nil"/>
              <w:bottom w:val="single" w:sz="12" w:space="0" w:color="auto"/>
              <w:right w:val="single" w:sz="12" w:space="0" w:color="auto"/>
            </w:tcBorders>
          </w:tcPr>
          <w:p w:rsidR="00315132" w:rsidRPr="00BC00CC" w:rsidRDefault="009B67AE" w:rsidP="009B67AE">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176735</w:t>
            </w:r>
          </w:p>
        </w:tc>
        <w:tc>
          <w:tcPr>
            <w:tcW w:w="1417" w:type="dxa"/>
            <w:tcBorders>
              <w:top w:val="single" w:sz="18" w:space="0" w:color="auto"/>
              <w:left w:val="nil"/>
              <w:bottom w:val="single" w:sz="12" w:space="0" w:color="auto"/>
              <w:right w:val="single" w:sz="12" w:space="0" w:color="auto"/>
            </w:tcBorders>
          </w:tcPr>
          <w:p w:rsidR="00315132" w:rsidRPr="00BC00CC" w:rsidRDefault="009B67AE" w:rsidP="009B67AE">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17,67</w:t>
            </w:r>
          </w:p>
        </w:tc>
        <w:tc>
          <w:tcPr>
            <w:tcW w:w="1418" w:type="dxa"/>
            <w:tcBorders>
              <w:top w:val="single" w:sz="18" w:space="0" w:color="auto"/>
              <w:left w:val="nil"/>
              <w:bottom w:val="single" w:sz="12" w:space="0" w:color="auto"/>
              <w:right w:val="single" w:sz="12" w:space="0" w:color="auto"/>
            </w:tcBorders>
          </w:tcPr>
          <w:p w:rsidR="00315132" w:rsidRPr="00BC00CC" w:rsidRDefault="00315132" w:rsidP="00E81CCF">
            <w:pPr>
              <w:pStyle w:val="janja"/>
              <w:spacing w:before="40" w:after="144"/>
              <w:rPr>
                <w:rFonts w:asciiTheme="minorHAnsi" w:hAnsiTheme="minorHAnsi" w:cstheme="minorHAnsi"/>
                <w:sz w:val="24"/>
                <w:szCs w:val="24"/>
                <w:lang w:val="hr-HR"/>
              </w:rPr>
            </w:pPr>
            <w:r w:rsidRPr="00BC00CC">
              <w:rPr>
                <w:rFonts w:asciiTheme="minorHAnsi" w:hAnsiTheme="minorHAnsi" w:cstheme="minorHAnsi"/>
                <w:sz w:val="24"/>
                <w:szCs w:val="24"/>
                <w:lang w:val="hr-HR"/>
              </w:rPr>
              <w:t>100</w:t>
            </w:r>
          </w:p>
        </w:tc>
      </w:tr>
    </w:tbl>
    <w:p w:rsidR="00315132" w:rsidRDefault="00315132">
      <w:pPr>
        <w:pStyle w:val="janja"/>
        <w:spacing w:after="144"/>
        <w:rPr>
          <w:b/>
          <w:lang w:val="hr-HR"/>
        </w:rPr>
      </w:pPr>
    </w:p>
    <w:p w:rsidR="00315132" w:rsidRDefault="00315132">
      <w:pPr>
        <w:pStyle w:val="janja"/>
        <w:spacing w:after="144"/>
        <w:rPr>
          <w:b/>
          <w:lang w:val="hr-HR"/>
        </w:rPr>
      </w:pPr>
    </w:p>
    <w:p w:rsidR="00315132" w:rsidRPr="00BC00CC" w:rsidRDefault="00315132">
      <w:pPr>
        <w:pStyle w:val="janja"/>
        <w:spacing w:after="144"/>
        <w:rPr>
          <w:rFonts w:ascii="Calibri" w:hAnsi="Calibri" w:cs="Calibri"/>
          <w:b/>
          <w:sz w:val="24"/>
          <w:szCs w:val="24"/>
          <w:lang w:val="hr-HR"/>
        </w:rPr>
      </w:pPr>
      <w:r w:rsidRPr="00BC00CC">
        <w:rPr>
          <w:rFonts w:ascii="Calibri" w:hAnsi="Calibri" w:cs="Calibri"/>
          <w:b/>
          <w:sz w:val="24"/>
          <w:szCs w:val="24"/>
          <w:lang w:val="hr-HR"/>
        </w:rPr>
        <w:t xml:space="preserve">2. Uvjeti smještaja građevina gospodarskih djelatnosti </w:t>
      </w:r>
    </w:p>
    <w:p w:rsidR="00315132" w:rsidRPr="00BC00CC" w:rsidRDefault="00315132">
      <w:pPr>
        <w:pStyle w:val="janja"/>
        <w:spacing w:after="144"/>
        <w:rPr>
          <w:rFonts w:ascii="Calibri" w:hAnsi="Calibri" w:cs="Calibri"/>
          <w:b/>
          <w:sz w:val="24"/>
          <w:szCs w:val="24"/>
          <w:lang w:val="hr-HR"/>
        </w:rPr>
      </w:pPr>
      <w:r w:rsidRPr="00BC00CC">
        <w:rPr>
          <w:rFonts w:ascii="Calibri" w:hAnsi="Calibri" w:cs="Calibri"/>
          <w:b/>
          <w:sz w:val="24"/>
          <w:szCs w:val="24"/>
          <w:lang w:val="hr-HR"/>
        </w:rPr>
        <w:t>2.1. Uvjeti smještaja građevina ugostiteljsko turističke namjene – T</w:t>
      </w:r>
    </w:p>
    <w:p w:rsidR="00315132" w:rsidRPr="00BC00CC" w:rsidRDefault="00315132" w:rsidP="00E81CCF">
      <w:pPr>
        <w:pStyle w:val="Caption"/>
        <w:tabs>
          <w:tab w:val="num" w:pos="426"/>
        </w:tabs>
        <w:jc w:val="left"/>
        <w:rPr>
          <w:rFonts w:ascii="Calibri" w:hAnsi="Calibri" w:cs="Calibri"/>
          <w:szCs w:val="24"/>
        </w:rPr>
      </w:pPr>
      <w:r w:rsidRPr="00BC00CC">
        <w:rPr>
          <w:rFonts w:ascii="Calibri" w:hAnsi="Calibri" w:cs="Calibri"/>
          <w:szCs w:val="24"/>
        </w:rPr>
        <w:t xml:space="preserve">Članak </w:t>
      </w:r>
      <w:r w:rsidR="00D15348" w:rsidRPr="00BC00CC">
        <w:rPr>
          <w:rFonts w:ascii="Calibri" w:hAnsi="Calibri" w:cs="Calibri"/>
          <w:szCs w:val="24"/>
        </w:rPr>
        <w:fldChar w:fldCharType="begin"/>
      </w:r>
      <w:r w:rsidRPr="00BC00CC">
        <w:rPr>
          <w:rFonts w:ascii="Calibri" w:hAnsi="Calibri" w:cs="Calibri"/>
          <w:szCs w:val="24"/>
        </w:rPr>
        <w:instrText xml:space="preserve"> SEQ Članak \* ARABIC </w:instrText>
      </w:r>
      <w:r w:rsidR="00D15348" w:rsidRPr="00BC00CC">
        <w:rPr>
          <w:rFonts w:ascii="Calibri" w:hAnsi="Calibri" w:cs="Calibri"/>
          <w:szCs w:val="24"/>
        </w:rPr>
        <w:fldChar w:fldCharType="separate"/>
      </w:r>
      <w:r w:rsidR="001A3124">
        <w:rPr>
          <w:rFonts w:ascii="Calibri" w:hAnsi="Calibri" w:cs="Calibri"/>
          <w:noProof/>
          <w:szCs w:val="24"/>
        </w:rPr>
        <w:t>5</w:t>
      </w:r>
      <w:r w:rsidR="00D15348" w:rsidRPr="00BC00CC">
        <w:rPr>
          <w:rFonts w:ascii="Calibri" w:hAnsi="Calibri" w:cs="Calibri"/>
          <w:szCs w:val="24"/>
        </w:rPr>
        <w:fldChar w:fldCharType="end"/>
      </w:r>
      <w:r w:rsidRPr="00BC00CC">
        <w:rPr>
          <w:rFonts w:ascii="Calibri" w:hAnsi="Calibri" w:cs="Calibri"/>
          <w:szCs w:val="24"/>
        </w:rPr>
        <w:t>.</w:t>
      </w:r>
    </w:p>
    <w:p w:rsidR="00E81CCF" w:rsidRPr="00BC00CC" w:rsidRDefault="00E81CCF" w:rsidP="00E81CCF">
      <w:pPr>
        <w:numPr>
          <w:ilvl w:val="0"/>
          <w:numId w:val="0"/>
        </w:numPr>
        <w:rPr>
          <w:sz w:val="24"/>
          <w:szCs w:val="24"/>
          <w:lang w:val="hr-HR"/>
        </w:rPr>
      </w:pPr>
    </w:p>
    <w:p w:rsidR="00E81CCF" w:rsidRPr="00BC00CC" w:rsidRDefault="00E81CCF" w:rsidP="00E81CCF">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Članak 5. </w:t>
      </w:r>
      <w:r w:rsidR="00BC00CC">
        <w:rPr>
          <w:rFonts w:asciiTheme="minorHAnsi" w:hAnsiTheme="minorHAnsi" w:cstheme="minorHAnsi"/>
          <w:sz w:val="24"/>
          <w:szCs w:val="24"/>
          <w:lang w:val="hr-HR"/>
        </w:rPr>
        <w:t>m</w:t>
      </w:r>
      <w:r w:rsidRPr="00BC00CC">
        <w:rPr>
          <w:rFonts w:asciiTheme="minorHAnsi" w:hAnsiTheme="minorHAnsi" w:cstheme="minorHAnsi"/>
          <w:sz w:val="24"/>
          <w:szCs w:val="24"/>
          <w:lang w:val="hr-HR"/>
        </w:rPr>
        <w:t>ijenja se i sada glasi:</w:t>
      </w:r>
    </w:p>
    <w:p w:rsidR="00315132" w:rsidRPr="00BC00CC" w:rsidRDefault="00315132">
      <w:pPr>
        <w:pStyle w:val="janja"/>
        <w:spacing w:before="120" w:after="120"/>
        <w:rPr>
          <w:rFonts w:ascii="Calibri" w:hAnsi="Calibri" w:cs="Calibri"/>
          <w:sz w:val="24"/>
          <w:szCs w:val="24"/>
          <w:lang w:val="hr-HR"/>
        </w:rPr>
      </w:pPr>
      <w:r w:rsidRPr="00BC00CC">
        <w:rPr>
          <w:rFonts w:ascii="Calibri" w:hAnsi="Calibri" w:cs="Calibri"/>
          <w:sz w:val="24"/>
          <w:szCs w:val="24"/>
          <w:lang w:val="hr-HR"/>
        </w:rPr>
        <w:t xml:space="preserve">Građevine ugostiteljsko turističke namjene uključujući obiteljske hotele, pansione i aparthotele te prateće rekreacijske i zabavne sadržaje moguće je graditi u zonama namjene M1. </w:t>
      </w:r>
    </w:p>
    <w:p w:rsidR="00315132" w:rsidRPr="00BC00CC" w:rsidRDefault="00315132">
      <w:pPr>
        <w:pStyle w:val="janja"/>
        <w:spacing w:after="144"/>
        <w:rPr>
          <w:rFonts w:ascii="Calibri" w:hAnsi="Calibri" w:cs="Calibri"/>
          <w:b/>
          <w:sz w:val="24"/>
          <w:szCs w:val="24"/>
          <w:lang w:val="hr-HR"/>
        </w:rPr>
      </w:pPr>
    </w:p>
    <w:p w:rsidR="00315132" w:rsidRPr="00BC00CC" w:rsidRDefault="00315132">
      <w:pPr>
        <w:pStyle w:val="janja"/>
        <w:rPr>
          <w:rFonts w:ascii="Calibri" w:hAnsi="Calibri" w:cs="Calibri"/>
          <w:b/>
          <w:sz w:val="24"/>
          <w:szCs w:val="24"/>
          <w:lang w:val="hr-HR"/>
        </w:rPr>
      </w:pPr>
      <w:r w:rsidRPr="00BC00CC">
        <w:rPr>
          <w:rFonts w:ascii="Calibri" w:hAnsi="Calibri" w:cs="Calibri"/>
          <w:b/>
          <w:sz w:val="24"/>
          <w:szCs w:val="24"/>
          <w:lang w:val="hr-HR"/>
        </w:rPr>
        <w:t>2.1.1. Uvjeti smještaja građevina ugostiteljsko turističke namjene – T u zone namjene M1</w:t>
      </w:r>
    </w:p>
    <w:p w:rsidR="00315132" w:rsidRPr="00BC00CC" w:rsidRDefault="00315132">
      <w:pPr>
        <w:pStyle w:val="janja"/>
        <w:spacing w:before="120"/>
        <w:rPr>
          <w:rFonts w:ascii="Calibri" w:hAnsi="Calibri" w:cs="Calibri"/>
          <w:sz w:val="24"/>
          <w:szCs w:val="24"/>
          <w:lang w:val="hr-HR"/>
        </w:rPr>
      </w:pPr>
      <w:r w:rsidRPr="00BC00CC">
        <w:rPr>
          <w:rFonts w:ascii="Calibri" w:hAnsi="Calibri" w:cs="Calibri"/>
          <w:sz w:val="24"/>
          <w:szCs w:val="24"/>
          <w:lang w:val="hr-HR"/>
        </w:rPr>
        <w:t xml:space="preserve">Za smještaj i izgradnju obiteljskih hotela, pansiona i aparthotela u zonama namjene M1 vrijede isti prostorni pokazatelji kao za izgradnju stambenih građevina (poglavlje 4. ovih odredbi ‘Uvjeti i način gradnje stambenih građevina’). </w:t>
      </w:r>
    </w:p>
    <w:p w:rsidR="00315132" w:rsidRPr="00BC00CC" w:rsidRDefault="00315132">
      <w:pPr>
        <w:pStyle w:val="janja"/>
        <w:spacing w:before="120" w:after="120"/>
        <w:rPr>
          <w:rFonts w:ascii="Calibri" w:hAnsi="Calibri" w:cs="Calibri"/>
          <w:sz w:val="24"/>
          <w:szCs w:val="24"/>
          <w:lang w:val="hr-HR"/>
        </w:rPr>
      </w:pPr>
      <w:r w:rsidRPr="00BC00CC">
        <w:rPr>
          <w:rFonts w:ascii="Calibri" w:hAnsi="Calibri" w:cs="Calibri"/>
          <w:sz w:val="24"/>
          <w:szCs w:val="24"/>
          <w:lang w:val="hr-HR"/>
        </w:rPr>
        <w:t>Obvezan minimalni broj parkirališnih ili garažnih mjesta koja je potrebno osigurati na građevnoj čestici utvrđuje se prema normativu 2 PGM/100m</w:t>
      </w:r>
      <w:r w:rsidRPr="00BC00CC">
        <w:rPr>
          <w:rFonts w:ascii="Calibri" w:hAnsi="Calibri" w:cs="Calibri"/>
          <w:sz w:val="24"/>
          <w:szCs w:val="24"/>
          <w:vertAlign w:val="superscript"/>
          <w:lang w:val="hr-HR"/>
        </w:rPr>
        <w:t>2</w:t>
      </w:r>
      <w:r w:rsidRPr="00BC00CC">
        <w:rPr>
          <w:rFonts w:ascii="Calibri" w:hAnsi="Calibri" w:cs="Calibri"/>
          <w:sz w:val="24"/>
          <w:szCs w:val="24"/>
          <w:lang w:val="hr-HR"/>
        </w:rPr>
        <w:t xml:space="preserve"> građevinske bruto površine osnovne namjene na jednoj građevnoj čestici, bez površina unutar građevina namijenjenih smještaju vozila u mirovanju te suterenskih i podrumskih dijelova koji nisu namijenjeni za boravak ljudi.</w:t>
      </w:r>
    </w:p>
    <w:p w:rsidR="00315132" w:rsidRPr="00BC00CC" w:rsidRDefault="00315132">
      <w:pPr>
        <w:pStyle w:val="janja"/>
        <w:spacing w:after="144"/>
        <w:rPr>
          <w:rFonts w:ascii="Calibri" w:hAnsi="Calibri" w:cs="Calibri"/>
          <w:b/>
          <w:sz w:val="24"/>
          <w:szCs w:val="24"/>
          <w:lang w:val="hr-HR"/>
        </w:rPr>
      </w:pPr>
    </w:p>
    <w:p w:rsidR="00315132" w:rsidRPr="00BC00CC" w:rsidRDefault="00315132" w:rsidP="00E81CCF">
      <w:pPr>
        <w:pStyle w:val="janja"/>
        <w:numPr>
          <w:ilvl w:val="1"/>
          <w:numId w:val="25"/>
        </w:numPr>
        <w:spacing w:after="144"/>
        <w:rPr>
          <w:rFonts w:ascii="Calibri" w:hAnsi="Calibri" w:cs="Calibri"/>
          <w:b/>
          <w:sz w:val="24"/>
          <w:szCs w:val="24"/>
          <w:lang w:val="hr-HR"/>
        </w:rPr>
      </w:pPr>
      <w:r w:rsidRPr="00BC00CC">
        <w:rPr>
          <w:rFonts w:ascii="Calibri" w:hAnsi="Calibri" w:cs="Calibri"/>
          <w:b/>
          <w:sz w:val="24"/>
          <w:szCs w:val="24"/>
          <w:lang w:val="hr-HR"/>
        </w:rPr>
        <w:t>Uvjeti smještaja građevina poslovne namjene – K</w:t>
      </w:r>
    </w:p>
    <w:p w:rsidR="00E81CCF" w:rsidRPr="00BC00CC" w:rsidRDefault="00E81CCF" w:rsidP="00E81CCF">
      <w:pPr>
        <w:pStyle w:val="janja"/>
        <w:spacing w:after="144"/>
        <w:rPr>
          <w:rFonts w:ascii="Calibri" w:hAnsi="Calibri" w:cs="Calibri"/>
          <w:b/>
          <w:sz w:val="24"/>
          <w:szCs w:val="24"/>
          <w:lang w:val="hr-HR"/>
        </w:rPr>
      </w:pPr>
    </w:p>
    <w:p w:rsidR="00E81CCF" w:rsidRPr="00BC00CC" w:rsidRDefault="00E81CCF" w:rsidP="00E81CCF">
      <w:pPr>
        <w:pStyle w:val="janja"/>
        <w:spacing w:after="144"/>
        <w:rPr>
          <w:rFonts w:ascii="Calibri" w:hAnsi="Calibri" w:cs="Calibri"/>
          <w:b/>
          <w:sz w:val="24"/>
          <w:szCs w:val="24"/>
          <w:lang w:val="hr-HR"/>
        </w:rPr>
      </w:pPr>
      <w:r w:rsidRPr="00BC00CC">
        <w:rPr>
          <w:rFonts w:ascii="Calibri" w:hAnsi="Calibri" w:cs="Calibri"/>
          <w:b/>
          <w:sz w:val="24"/>
          <w:szCs w:val="24"/>
          <w:lang w:val="hr-HR"/>
        </w:rPr>
        <w:t>Članak 6.</w:t>
      </w:r>
    </w:p>
    <w:p w:rsidR="00E81CCF" w:rsidRPr="00BC00CC" w:rsidRDefault="00315132" w:rsidP="00E81CCF">
      <w:pPr>
        <w:pStyle w:val="Caption"/>
        <w:tabs>
          <w:tab w:val="num" w:pos="426"/>
        </w:tabs>
        <w:jc w:val="left"/>
        <w:rPr>
          <w:rFonts w:ascii="Calibri" w:hAnsi="Calibri" w:cs="Calibri"/>
          <w:b w:val="0"/>
          <w:szCs w:val="24"/>
        </w:rPr>
      </w:pPr>
      <w:r w:rsidRPr="00BC00CC">
        <w:rPr>
          <w:rFonts w:ascii="Calibri" w:hAnsi="Calibri" w:cs="Calibri"/>
          <w:b w:val="0"/>
          <w:szCs w:val="24"/>
        </w:rPr>
        <w:t xml:space="preserve">Članak </w:t>
      </w:r>
      <w:r w:rsidR="00D15348" w:rsidRPr="00BC00CC">
        <w:rPr>
          <w:rFonts w:ascii="Calibri" w:hAnsi="Calibri" w:cs="Calibri"/>
          <w:b w:val="0"/>
          <w:szCs w:val="24"/>
        </w:rPr>
        <w:fldChar w:fldCharType="begin"/>
      </w:r>
      <w:r w:rsidRPr="00BC00CC">
        <w:rPr>
          <w:rFonts w:ascii="Calibri" w:hAnsi="Calibri" w:cs="Calibri"/>
          <w:b w:val="0"/>
          <w:szCs w:val="24"/>
        </w:rPr>
        <w:instrText xml:space="preserve"> SEQ Članak \* ARABIC </w:instrText>
      </w:r>
      <w:r w:rsidR="00D15348" w:rsidRPr="00BC00CC">
        <w:rPr>
          <w:rFonts w:ascii="Calibri" w:hAnsi="Calibri" w:cs="Calibri"/>
          <w:b w:val="0"/>
          <w:szCs w:val="24"/>
        </w:rPr>
        <w:fldChar w:fldCharType="separate"/>
      </w:r>
      <w:r w:rsidR="001A3124">
        <w:rPr>
          <w:rFonts w:ascii="Calibri" w:hAnsi="Calibri" w:cs="Calibri"/>
          <w:b w:val="0"/>
          <w:noProof/>
          <w:szCs w:val="24"/>
        </w:rPr>
        <w:t>6</w:t>
      </w:r>
      <w:r w:rsidR="00D15348" w:rsidRPr="00BC00CC">
        <w:rPr>
          <w:rFonts w:ascii="Calibri" w:hAnsi="Calibri" w:cs="Calibri"/>
          <w:b w:val="0"/>
          <w:szCs w:val="24"/>
        </w:rPr>
        <w:fldChar w:fldCharType="end"/>
      </w:r>
      <w:r w:rsidRPr="00BC00CC">
        <w:rPr>
          <w:rFonts w:ascii="Calibri" w:hAnsi="Calibri" w:cs="Calibri"/>
          <w:b w:val="0"/>
          <w:szCs w:val="24"/>
        </w:rPr>
        <w:t>.</w:t>
      </w:r>
      <w:r w:rsidR="00E81CCF" w:rsidRPr="00BC00CC">
        <w:rPr>
          <w:rFonts w:ascii="Calibri" w:hAnsi="Calibri" w:cs="Calibri"/>
          <w:b w:val="0"/>
          <w:szCs w:val="24"/>
        </w:rPr>
        <w:t xml:space="preserve"> se </w:t>
      </w:r>
      <w:r w:rsidR="00D8398D" w:rsidRPr="00BC00CC">
        <w:rPr>
          <w:rFonts w:ascii="Calibri" w:hAnsi="Calibri" w:cs="Calibri"/>
          <w:b w:val="0"/>
          <w:szCs w:val="24"/>
        </w:rPr>
        <w:t>briše</w:t>
      </w:r>
    </w:p>
    <w:p w:rsidR="00E81CCF" w:rsidRPr="00BC00CC" w:rsidRDefault="00E81CCF" w:rsidP="00E81CCF">
      <w:pPr>
        <w:numPr>
          <w:ilvl w:val="0"/>
          <w:numId w:val="0"/>
        </w:numPr>
        <w:rPr>
          <w:sz w:val="24"/>
          <w:szCs w:val="24"/>
          <w:lang w:val="hr-HR"/>
        </w:rPr>
      </w:pPr>
    </w:p>
    <w:p w:rsidR="00E81CCF" w:rsidRPr="00BC00CC" w:rsidRDefault="00E81CCF" w:rsidP="00E81CCF">
      <w:pPr>
        <w:numPr>
          <w:ilvl w:val="0"/>
          <w:numId w:val="0"/>
        </w:numPr>
        <w:rPr>
          <w:sz w:val="24"/>
          <w:szCs w:val="24"/>
          <w:lang w:val="hr-HR"/>
        </w:rPr>
      </w:pPr>
    </w:p>
    <w:p w:rsidR="00315132" w:rsidRPr="00BC00CC" w:rsidRDefault="00315132">
      <w:pPr>
        <w:pStyle w:val="janja"/>
        <w:spacing w:after="144"/>
        <w:rPr>
          <w:rFonts w:ascii="Calibri" w:hAnsi="Calibri" w:cs="Calibri"/>
          <w:b/>
          <w:sz w:val="24"/>
          <w:szCs w:val="24"/>
          <w:lang w:val="hr-HR"/>
        </w:rPr>
      </w:pPr>
      <w:r w:rsidRPr="00BC00CC">
        <w:rPr>
          <w:rFonts w:ascii="Calibri" w:hAnsi="Calibri" w:cs="Calibri"/>
          <w:b/>
          <w:sz w:val="24"/>
          <w:szCs w:val="24"/>
          <w:lang w:val="hr-HR"/>
        </w:rPr>
        <w:t>3. Uvjeti smještaja građevina društvenih djelatnosti</w:t>
      </w:r>
    </w:p>
    <w:p w:rsidR="00315132" w:rsidRPr="00BC00CC" w:rsidRDefault="00315132" w:rsidP="00E81CCF">
      <w:pPr>
        <w:pStyle w:val="Caption"/>
        <w:tabs>
          <w:tab w:val="num" w:pos="426"/>
        </w:tabs>
        <w:jc w:val="left"/>
        <w:rPr>
          <w:rFonts w:ascii="Calibri" w:hAnsi="Calibri" w:cs="Calibri"/>
          <w:szCs w:val="24"/>
        </w:rPr>
      </w:pPr>
      <w:r w:rsidRPr="00BC00CC">
        <w:rPr>
          <w:rFonts w:ascii="Calibri" w:hAnsi="Calibri" w:cs="Calibri"/>
          <w:szCs w:val="24"/>
        </w:rPr>
        <w:t xml:space="preserve">Članak </w:t>
      </w:r>
      <w:r w:rsidR="00D15348" w:rsidRPr="00BC00CC">
        <w:rPr>
          <w:rFonts w:ascii="Calibri" w:hAnsi="Calibri" w:cs="Calibri"/>
          <w:szCs w:val="24"/>
        </w:rPr>
        <w:fldChar w:fldCharType="begin"/>
      </w:r>
      <w:r w:rsidRPr="00BC00CC">
        <w:rPr>
          <w:rFonts w:ascii="Calibri" w:hAnsi="Calibri" w:cs="Calibri"/>
          <w:szCs w:val="24"/>
        </w:rPr>
        <w:instrText xml:space="preserve"> SEQ Članak \* ARABIC </w:instrText>
      </w:r>
      <w:r w:rsidR="00D15348" w:rsidRPr="00BC00CC">
        <w:rPr>
          <w:rFonts w:ascii="Calibri" w:hAnsi="Calibri" w:cs="Calibri"/>
          <w:szCs w:val="24"/>
        </w:rPr>
        <w:fldChar w:fldCharType="separate"/>
      </w:r>
      <w:r w:rsidR="001A3124">
        <w:rPr>
          <w:rFonts w:ascii="Calibri" w:hAnsi="Calibri" w:cs="Calibri"/>
          <w:noProof/>
          <w:szCs w:val="24"/>
        </w:rPr>
        <w:t>7</w:t>
      </w:r>
      <w:r w:rsidR="00D15348" w:rsidRPr="00BC00CC">
        <w:rPr>
          <w:rFonts w:ascii="Calibri" w:hAnsi="Calibri" w:cs="Calibri"/>
          <w:szCs w:val="24"/>
        </w:rPr>
        <w:fldChar w:fldCharType="end"/>
      </w:r>
      <w:r w:rsidRPr="00BC00CC">
        <w:rPr>
          <w:rFonts w:ascii="Calibri" w:hAnsi="Calibri" w:cs="Calibri"/>
          <w:szCs w:val="24"/>
        </w:rPr>
        <w:t>.</w:t>
      </w:r>
    </w:p>
    <w:p w:rsidR="00E81CCF" w:rsidRPr="00BC00CC" w:rsidRDefault="00E81CCF" w:rsidP="00E81CCF">
      <w:pPr>
        <w:numPr>
          <w:ilvl w:val="0"/>
          <w:numId w:val="0"/>
        </w:numPr>
        <w:rPr>
          <w:sz w:val="24"/>
          <w:szCs w:val="24"/>
          <w:lang w:val="hr-HR"/>
        </w:rPr>
      </w:pPr>
    </w:p>
    <w:p w:rsidR="00E81CCF" w:rsidRPr="00BC00CC" w:rsidRDefault="00E81CCF" w:rsidP="00E81CCF">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7. mijenja se i sada glasi:</w:t>
      </w:r>
    </w:p>
    <w:p w:rsidR="00E81CCF" w:rsidRPr="00E81CCF" w:rsidRDefault="00E81CCF" w:rsidP="00E81CCF">
      <w:pPr>
        <w:numPr>
          <w:ilvl w:val="0"/>
          <w:numId w:val="0"/>
        </w:numPr>
        <w:rPr>
          <w:rFonts w:asciiTheme="minorHAnsi" w:hAnsiTheme="minorHAnsi" w:cstheme="minorHAnsi"/>
          <w:b/>
          <w:sz w:val="22"/>
          <w:szCs w:val="22"/>
          <w:lang w:val="hr-HR"/>
        </w:rPr>
      </w:pPr>
    </w:p>
    <w:p w:rsidR="00B012C7" w:rsidRPr="00E81CCF" w:rsidRDefault="00B012C7" w:rsidP="00B012C7">
      <w:pPr>
        <w:pStyle w:val="NoSpacing"/>
        <w:jc w:val="both"/>
        <w:rPr>
          <w:rFonts w:cs="Calibri"/>
          <w:sz w:val="24"/>
          <w:szCs w:val="24"/>
        </w:rPr>
      </w:pPr>
      <w:r w:rsidRPr="00E81CCF">
        <w:rPr>
          <w:rFonts w:cs="Calibri"/>
          <w:sz w:val="24"/>
          <w:szCs w:val="24"/>
        </w:rPr>
        <w:t xml:space="preserve">Građevine i sadržaje društvenih i javnih djelatnosti moguće je smjestiti u zoni M1, mješovita </w:t>
      </w:r>
    </w:p>
    <w:p w:rsidR="00B012C7" w:rsidRPr="00E81CCF" w:rsidRDefault="00B012C7" w:rsidP="00B012C7">
      <w:pPr>
        <w:pStyle w:val="NoSpacing"/>
        <w:jc w:val="both"/>
        <w:rPr>
          <w:rFonts w:cs="Calibri"/>
          <w:sz w:val="24"/>
          <w:szCs w:val="24"/>
        </w:rPr>
      </w:pPr>
      <w:r w:rsidRPr="00E81CCF">
        <w:rPr>
          <w:rFonts w:cs="Calibri"/>
          <w:sz w:val="24"/>
          <w:szCs w:val="24"/>
        </w:rPr>
        <w:t>pretežito stambena namjena, prema uvjetima smještaja pratećih sadržaja. Uvjeti gradnje koji se odnose na visinu građevina, oblikovanje građevina i uređenje građevne čestice isti su kao za stambene građevine i detaljno su opisani u poglavljima 4. i 4.1.</w:t>
      </w:r>
    </w:p>
    <w:p w:rsidR="00315132" w:rsidRPr="00BC00CC" w:rsidRDefault="00315132">
      <w:pPr>
        <w:pStyle w:val="janja"/>
        <w:spacing w:before="120" w:after="240"/>
        <w:rPr>
          <w:rFonts w:ascii="Calibri" w:hAnsi="Calibri" w:cs="Calibri"/>
          <w:sz w:val="24"/>
          <w:szCs w:val="24"/>
          <w:lang w:val="hr-HR"/>
        </w:rPr>
      </w:pPr>
      <w:r w:rsidRPr="00BC00CC">
        <w:rPr>
          <w:rFonts w:ascii="Calibri" w:hAnsi="Calibri" w:cs="Calibri"/>
          <w:b/>
          <w:sz w:val="24"/>
          <w:szCs w:val="24"/>
          <w:lang w:val="hr-HR"/>
        </w:rPr>
        <w:t>4. Uvjeti i način gradnje stambenih građevina</w:t>
      </w:r>
    </w:p>
    <w:p w:rsidR="00315132" w:rsidRPr="00BC00CC" w:rsidRDefault="00315132" w:rsidP="00E81CCF">
      <w:pPr>
        <w:pStyle w:val="Caption"/>
        <w:tabs>
          <w:tab w:val="num" w:pos="426"/>
        </w:tabs>
        <w:jc w:val="left"/>
        <w:rPr>
          <w:rFonts w:ascii="Calibri" w:hAnsi="Calibri" w:cs="Calibri"/>
          <w:szCs w:val="24"/>
        </w:rPr>
      </w:pPr>
      <w:r w:rsidRPr="00BC00CC">
        <w:rPr>
          <w:rFonts w:ascii="Calibri" w:hAnsi="Calibri" w:cs="Calibri"/>
          <w:szCs w:val="24"/>
        </w:rPr>
        <w:t xml:space="preserve">Članak </w:t>
      </w:r>
      <w:r w:rsidR="00D15348" w:rsidRPr="00BC00CC">
        <w:rPr>
          <w:rFonts w:ascii="Calibri" w:hAnsi="Calibri" w:cs="Calibri"/>
          <w:szCs w:val="24"/>
        </w:rPr>
        <w:fldChar w:fldCharType="begin"/>
      </w:r>
      <w:r w:rsidRPr="00BC00CC">
        <w:rPr>
          <w:rFonts w:ascii="Calibri" w:hAnsi="Calibri" w:cs="Calibri"/>
          <w:szCs w:val="24"/>
        </w:rPr>
        <w:instrText xml:space="preserve"> SEQ Članak \* ARABIC </w:instrText>
      </w:r>
      <w:r w:rsidR="00D15348" w:rsidRPr="00BC00CC">
        <w:rPr>
          <w:rFonts w:ascii="Calibri" w:hAnsi="Calibri" w:cs="Calibri"/>
          <w:szCs w:val="24"/>
        </w:rPr>
        <w:fldChar w:fldCharType="separate"/>
      </w:r>
      <w:r w:rsidR="001A3124">
        <w:rPr>
          <w:rFonts w:ascii="Calibri" w:hAnsi="Calibri" w:cs="Calibri"/>
          <w:noProof/>
          <w:szCs w:val="24"/>
        </w:rPr>
        <w:t>8</w:t>
      </w:r>
      <w:r w:rsidR="00D15348" w:rsidRPr="00BC00CC">
        <w:rPr>
          <w:rFonts w:ascii="Calibri" w:hAnsi="Calibri" w:cs="Calibri"/>
          <w:szCs w:val="24"/>
        </w:rPr>
        <w:fldChar w:fldCharType="end"/>
      </w:r>
      <w:r w:rsidRPr="00BC00CC">
        <w:rPr>
          <w:rFonts w:ascii="Calibri" w:hAnsi="Calibri" w:cs="Calibri"/>
          <w:szCs w:val="24"/>
        </w:rPr>
        <w:t>.</w:t>
      </w:r>
    </w:p>
    <w:p w:rsidR="00E81CCF" w:rsidRPr="00BC00CC" w:rsidRDefault="00E81CCF" w:rsidP="00E81CCF">
      <w:pPr>
        <w:numPr>
          <w:ilvl w:val="0"/>
          <w:numId w:val="0"/>
        </w:numPr>
        <w:rPr>
          <w:sz w:val="24"/>
          <w:szCs w:val="24"/>
          <w:lang w:val="hr-HR"/>
        </w:rPr>
      </w:pPr>
    </w:p>
    <w:p w:rsidR="00E81CCF" w:rsidRPr="00BC00CC" w:rsidRDefault="00E81CCF" w:rsidP="00E81CCF">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8. mijenja se i sada glasi:</w:t>
      </w:r>
    </w:p>
    <w:p w:rsidR="00315132" w:rsidRPr="00BC00CC" w:rsidRDefault="00315132">
      <w:pPr>
        <w:pStyle w:val="janja"/>
        <w:spacing w:before="120" w:after="120"/>
        <w:rPr>
          <w:rFonts w:ascii="Calibri" w:hAnsi="Calibri" w:cs="Calibri"/>
          <w:sz w:val="24"/>
          <w:szCs w:val="24"/>
          <w:lang w:val="hr-HR"/>
        </w:rPr>
      </w:pPr>
      <w:r w:rsidRPr="00BC00CC">
        <w:rPr>
          <w:rFonts w:ascii="Calibri" w:hAnsi="Calibri" w:cs="Calibri"/>
          <w:sz w:val="24"/>
          <w:szCs w:val="24"/>
          <w:lang w:val="hr-HR"/>
        </w:rPr>
        <w:t xml:space="preserve">Stambene građevine mogu se graditi u zonama namjene M1. </w:t>
      </w:r>
    </w:p>
    <w:p w:rsidR="00315132" w:rsidRPr="00BC00CC" w:rsidRDefault="00315132">
      <w:pPr>
        <w:pStyle w:val="janja"/>
        <w:spacing w:after="120"/>
        <w:rPr>
          <w:rFonts w:ascii="Calibri" w:hAnsi="Calibri" w:cs="Calibri"/>
          <w:sz w:val="24"/>
          <w:szCs w:val="24"/>
          <w:lang w:val="hr-HR"/>
        </w:rPr>
      </w:pPr>
      <w:r w:rsidRPr="00BC00CC">
        <w:rPr>
          <w:rFonts w:ascii="Calibri" w:hAnsi="Calibri" w:cs="Calibri"/>
          <w:sz w:val="24"/>
          <w:szCs w:val="24"/>
          <w:lang w:val="hr-HR"/>
        </w:rPr>
        <w:t>Stambene građevine ukupne građevinske bruto površine nadzemne (bez podruma) do 400m</w:t>
      </w:r>
      <w:r w:rsidRPr="00BC00CC">
        <w:rPr>
          <w:rFonts w:ascii="Calibri" w:hAnsi="Calibri" w:cs="Calibri"/>
          <w:sz w:val="24"/>
          <w:szCs w:val="24"/>
          <w:vertAlign w:val="superscript"/>
          <w:lang w:val="hr-HR"/>
        </w:rPr>
        <w:t>2</w:t>
      </w:r>
      <w:r w:rsidRPr="00BC00CC">
        <w:rPr>
          <w:rFonts w:ascii="Calibri" w:hAnsi="Calibri" w:cs="Calibri"/>
          <w:sz w:val="24"/>
          <w:szCs w:val="24"/>
          <w:lang w:val="hr-HR"/>
        </w:rPr>
        <w:t xml:space="preserve">, s najviše 3 stambene jedinice, maksimalne visine </w:t>
      </w:r>
      <w:r w:rsidR="00B012C7" w:rsidRPr="00BC00CC">
        <w:rPr>
          <w:rFonts w:ascii="Calibri" w:hAnsi="Calibri" w:cs="Calibri"/>
          <w:sz w:val="24"/>
          <w:szCs w:val="24"/>
          <w:lang w:val="hr-HR"/>
        </w:rPr>
        <w:t>Po+P+1+Pk</w:t>
      </w:r>
      <w:r w:rsidRPr="00BC00CC">
        <w:rPr>
          <w:rFonts w:ascii="Calibri" w:hAnsi="Calibri" w:cs="Calibri"/>
          <w:sz w:val="24"/>
          <w:szCs w:val="24"/>
          <w:lang w:val="hr-HR"/>
        </w:rPr>
        <w:t xml:space="preserve">, ovim Planom se definiraju kao obiteljske stambene građevine. </w:t>
      </w:r>
    </w:p>
    <w:p w:rsidR="00315132" w:rsidRPr="00BC00CC" w:rsidRDefault="00315132">
      <w:pPr>
        <w:pStyle w:val="janja"/>
        <w:spacing w:after="120"/>
        <w:rPr>
          <w:rFonts w:ascii="Calibri" w:hAnsi="Calibri" w:cs="Calibri"/>
          <w:sz w:val="24"/>
          <w:szCs w:val="24"/>
          <w:lang w:val="hr-HR"/>
        </w:rPr>
      </w:pPr>
      <w:r w:rsidRPr="00BC00CC">
        <w:rPr>
          <w:rFonts w:ascii="Calibri" w:hAnsi="Calibri" w:cs="Calibri"/>
          <w:sz w:val="24"/>
          <w:szCs w:val="24"/>
          <w:lang w:val="hr-HR"/>
        </w:rPr>
        <w:t xml:space="preserve">Stambene i </w:t>
      </w:r>
      <w:r w:rsidR="00B012C7" w:rsidRPr="00BC00CC">
        <w:rPr>
          <w:rFonts w:ascii="Calibri" w:hAnsi="Calibri" w:cs="Calibri"/>
          <w:sz w:val="24"/>
          <w:szCs w:val="24"/>
          <w:lang w:val="hr-HR"/>
        </w:rPr>
        <w:t>stambeno poslovne</w:t>
      </w:r>
      <w:r w:rsidRPr="00BC00CC">
        <w:rPr>
          <w:rFonts w:ascii="Calibri" w:hAnsi="Calibri" w:cs="Calibri"/>
          <w:sz w:val="24"/>
          <w:szCs w:val="24"/>
          <w:lang w:val="hr-HR"/>
        </w:rPr>
        <w:t>građevine ukupne građevinske bruto površine nadzemne (bez podruma) veće od 400m</w:t>
      </w:r>
      <w:r w:rsidRPr="00BC00CC">
        <w:rPr>
          <w:rFonts w:ascii="Calibri" w:hAnsi="Calibri" w:cs="Calibri"/>
          <w:sz w:val="24"/>
          <w:szCs w:val="24"/>
          <w:vertAlign w:val="superscript"/>
          <w:lang w:val="hr-HR"/>
        </w:rPr>
        <w:t>2</w:t>
      </w:r>
      <w:r w:rsidRPr="00BC00CC">
        <w:rPr>
          <w:rFonts w:ascii="Calibri" w:hAnsi="Calibri" w:cs="Calibri"/>
          <w:sz w:val="24"/>
          <w:szCs w:val="24"/>
          <w:lang w:val="hr-HR"/>
        </w:rPr>
        <w:t xml:space="preserve"> ili iste građevine s </w:t>
      </w:r>
      <w:r w:rsidR="00B012C7" w:rsidRPr="00BC00CC">
        <w:rPr>
          <w:rFonts w:ascii="Calibri" w:hAnsi="Calibri" w:cs="Calibri"/>
          <w:sz w:val="24"/>
          <w:szCs w:val="24"/>
          <w:lang w:val="hr-HR"/>
        </w:rPr>
        <w:t>naj</w:t>
      </w:r>
      <w:r w:rsidRPr="00BC00CC">
        <w:rPr>
          <w:rFonts w:ascii="Calibri" w:hAnsi="Calibri" w:cs="Calibri"/>
          <w:sz w:val="24"/>
          <w:szCs w:val="24"/>
          <w:lang w:val="hr-HR"/>
        </w:rPr>
        <w:t xml:space="preserve">više </w:t>
      </w:r>
      <w:r w:rsidR="0014577A" w:rsidRPr="00BC00CC">
        <w:rPr>
          <w:rFonts w:ascii="Calibri" w:hAnsi="Calibri" w:cs="Calibri"/>
          <w:sz w:val="24"/>
          <w:szCs w:val="24"/>
          <w:lang w:val="hr-HR"/>
        </w:rPr>
        <w:t>6</w:t>
      </w:r>
      <w:r w:rsidRPr="00BC00CC">
        <w:rPr>
          <w:rFonts w:ascii="Calibri" w:hAnsi="Calibri" w:cs="Calibri"/>
          <w:sz w:val="24"/>
          <w:szCs w:val="24"/>
          <w:lang w:val="hr-HR"/>
        </w:rPr>
        <w:t>stambenih jedinica definiraju se kao višestambene građevine.</w:t>
      </w:r>
    </w:p>
    <w:p w:rsidR="00315132" w:rsidRPr="00BC00CC" w:rsidRDefault="00315132">
      <w:pPr>
        <w:pStyle w:val="janja"/>
        <w:spacing w:after="144"/>
        <w:rPr>
          <w:sz w:val="24"/>
          <w:szCs w:val="24"/>
          <w:lang w:val="hr-HR"/>
        </w:rPr>
      </w:pPr>
    </w:p>
    <w:p w:rsidR="00315132" w:rsidRPr="00BC00CC" w:rsidRDefault="00315132">
      <w:pPr>
        <w:pStyle w:val="janja"/>
        <w:spacing w:after="144"/>
        <w:rPr>
          <w:rFonts w:ascii="Calibri" w:hAnsi="Calibri" w:cs="Calibri"/>
          <w:b/>
          <w:sz w:val="24"/>
          <w:szCs w:val="24"/>
          <w:lang w:val="hr-HR"/>
        </w:rPr>
      </w:pPr>
      <w:r w:rsidRPr="00BC00CC">
        <w:rPr>
          <w:rFonts w:ascii="Calibri" w:hAnsi="Calibri" w:cs="Calibri"/>
          <w:b/>
          <w:sz w:val="24"/>
          <w:szCs w:val="24"/>
          <w:lang w:val="hr-HR"/>
        </w:rPr>
        <w:t>Parcelacija</w:t>
      </w:r>
    </w:p>
    <w:p w:rsidR="00315132" w:rsidRPr="00BC00CC" w:rsidRDefault="00315132" w:rsidP="00EC1AE7">
      <w:pPr>
        <w:pStyle w:val="Caption"/>
        <w:tabs>
          <w:tab w:val="num" w:pos="426"/>
        </w:tabs>
        <w:jc w:val="left"/>
        <w:rPr>
          <w:rFonts w:ascii="Calibri" w:hAnsi="Calibri" w:cs="Calibri"/>
          <w:szCs w:val="24"/>
        </w:rPr>
      </w:pPr>
      <w:r w:rsidRPr="00BC00CC">
        <w:rPr>
          <w:rFonts w:ascii="Calibri" w:hAnsi="Calibri" w:cs="Calibri"/>
          <w:szCs w:val="24"/>
        </w:rPr>
        <w:t xml:space="preserve">Članak </w:t>
      </w:r>
      <w:r w:rsidR="00D15348" w:rsidRPr="00BC00CC">
        <w:rPr>
          <w:rFonts w:ascii="Calibri" w:hAnsi="Calibri" w:cs="Calibri"/>
          <w:szCs w:val="24"/>
        </w:rPr>
        <w:fldChar w:fldCharType="begin"/>
      </w:r>
      <w:r w:rsidRPr="00BC00CC">
        <w:rPr>
          <w:rFonts w:ascii="Calibri" w:hAnsi="Calibri" w:cs="Calibri"/>
          <w:szCs w:val="24"/>
        </w:rPr>
        <w:instrText xml:space="preserve"> SEQ Članak \* ARABIC </w:instrText>
      </w:r>
      <w:r w:rsidR="00D15348" w:rsidRPr="00BC00CC">
        <w:rPr>
          <w:rFonts w:ascii="Calibri" w:hAnsi="Calibri" w:cs="Calibri"/>
          <w:szCs w:val="24"/>
        </w:rPr>
        <w:fldChar w:fldCharType="separate"/>
      </w:r>
      <w:r w:rsidR="001A3124">
        <w:rPr>
          <w:rFonts w:ascii="Calibri" w:hAnsi="Calibri" w:cs="Calibri"/>
          <w:noProof/>
          <w:szCs w:val="24"/>
        </w:rPr>
        <w:t>9</w:t>
      </w:r>
      <w:r w:rsidR="00D15348" w:rsidRPr="00BC00CC">
        <w:rPr>
          <w:rFonts w:ascii="Calibri" w:hAnsi="Calibri" w:cs="Calibri"/>
          <w:szCs w:val="24"/>
        </w:rPr>
        <w:fldChar w:fldCharType="end"/>
      </w:r>
      <w:r w:rsidRPr="00BC00CC">
        <w:rPr>
          <w:rFonts w:ascii="Calibri" w:hAnsi="Calibri" w:cs="Calibri"/>
          <w:szCs w:val="24"/>
        </w:rPr>
        <w:t>.</w:t>
      </w:r>
    </w:p>
    <w:p w:rsidR="00B10B96" w:rsidRPr="00BC00CC" w:rsidRDefault="00B10B96" w:rsidP="00B10B96">
      <w:pPr>
        <w:numPr>
          <w:ilvl w:val="0"/>
          <w:numId w:val="0"/>
        </w:numPr>
        <w:rPr>
          <w:sz w:val="24"/>
          <w:szCs w:val="24"/>
          <w:lang w:val="hr-HR"/>
        </w:rPr>
      </w:pPr>
    </w:p>
    <w:p w:rsidR="00B10B96" w:rsidRPr="00BC00CC" w:rsidRDefault="00B10B96" w:rsidP="00B10B96">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9. mijenja se i sada glasi:</w:t>
      </w:r>
    </w:p>
    <w:p w:rsidR="00B10B96" w:rsidRPr="00BC00CC" w:rsidRDefault="00B10B96" w:rsidP="00B10B96">
      <w:pPr>
        <w:numPr>
          <w:ilvl w:val="0"/>
          <w:numId w:val="0"/>
        </w:numPr>
        <w:rPr>
          <w:rFonts w:asciiTheme="minorHAnsi" w:hAnsiTheme="minorHAnsi" w:cstheme="minorHAnsi"/>
          <w:b/>
          <w:sz w:val="24"/>
          <w:szCs w:val="24"/>
          <w:lang w:val="hr-HR"/>
        </w:rPr>
      </w:pPr>
    </w:p>
    <w:p w:rsidR="00C332E3" w:rsidRPr="00BC00CC" w:rsidRDefault="00C332E3" w:rsidP="00C332E3">
      <w:pPr>
        <w:numPr>
          <w:ilvl w:val="12"/>
          <w:numId w:val="0"/>
        </w:numPr>
        <w:rPr>
          <w:rFonts w:ascii="Calibri" w:hAnsi="Calibri" w:cs="Calibri"/>
          <w:sz w:val="24"/>
          <w:szCs w:val="24"/>
        </w:rPr>
      </w:pPr>
      <w:r w:rsidRPr="00BC00CC">
        <w:rPr>
          <w:rFonts w:ascii="Calibri" w:hAnsi="Calibri" w:cs="Calibri"/>
          <w:sz w:val="24"/>
          <w:szCs w:val="24"/>
        </w:rPr>
        <w:t xml:space="preserve">Minimalna površina građevne čestice </w:t>
      </w:r>
      <w:r w:rsidRPr="00BC00CC">
        <w:rPr>
          <w:rFonts w:ascii="Calibri" w:hAnsi="Calibri" w:cs="Calibri"/>
          <w:spacing w:val="-4"/>
          <w:sz w:val="24"/>
          <w:szCs w:val="24"/>
        </w:rPr>
        <w:t>stambene, stambeno-poslovne, poslovne ili</w:t>
      </w:r>
      <w:r w:rsidRPr="00BC00CC">
        <w:rPr>
          <w:rFonts w:ascii="Calibri" w:hAnsi="Calibri" w:cs="Calibri"/>
          <w:sz w:val="24"/>
          <w:szCs w:val="24"/>
        </w:rPr>
        <w:t xml:space="preserve">ugostiteljsko turističke </w:t>
      </w:r>
      <w:r w:rsidRPr="00BC00CC">
        <w:rPr>
          <w:rFonts w:ascii="Calibri" w:hAnsi="Calibri" w:cs="Calibri"/>
          <w:spacing w:val="-4"/>
          <w:sz w:val="24"/>
          <w:szCs w:val="24"/>
        </w:rPr>
        <w:t>namjene</w:t>
      </w:r>
      <w:r w:rsidRPr="00BC00CC">
        <w:rPr>
          <w:rFonts w:ascii="Calibri" w:hAnsi="Calibri" w:cs="Calibri"/>
          <w:sz w:val="24"/>
          <w:szCs w:val="24"/>
        </w:rPr>
        <w:t xml:space="preserve"> iznosi:</w:t>
      </w:r>
    </w:p>
    <w:p w:rsidR="00C332E3" w:rsidRPr="00BC00CC" w:rsidRDefault="00C332E3" w:rsidP="00C332E3">
      <w:pPr>
        <w:tabs>
          <w:tab w:val="left" w:pos="709"/>
        </w:tabs>
        <w:ind w:left="360" w:firstLine="66"/>
        <w:rPr>
          <w:rFonts w:ascii="Calibri" w:hAnsi="Calibri" w:cs="Calibri"/>
          <w:sz w:val="24"/>
          <w:szCs w:val="24"/>
        </w:rPr>
      </w:pPr>
      <w:r w:rsidRPr="00BC00CC">
        <w:rPr>
          <w:rFonts w:ascii="Calibri" w:hAnsi="Calibri" w:cs="Calibri"/>
          <w:sz w:val="24"/>
          <w:szCs w:val="24"/>
        </w:rPr>
        <w:t></w:t>
      </w:r>
      <w:r w:rsidRPr="00BC00CC">
        <w:rPr>
          <w:rFonts w:ascii="Calibri" w:hAnsi="Calibri" w:cs="Calibri"/>
          <w:sz w:val="24"/>
          <w:szCs w:val="24"/>
        </w:rPr>
        <w:tab/>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C332E3" w:rsidRPr="00B10B96" w:rsidTr="0029081E">
        <w:tc>
          <w:tcPr>
            <w:tcW w:w="5245" w:type="dxa"/>
          </w:tcPr>
          <w:p w:rsidR="00C332E3" w:rsidRPr="00B10B96" w:rsidRDefault="00C332E3" w:rsidP="0029081E">
            <w:pPr>
              <w:rPr>
                <w:rFonts w:ascii="Calibri" w:hAnsi="Calibri" w:cs="Calibri"/>
                <w:sz w:val="24"/>
                <w:szCs w:val="24"/>
              </w:rPr>
            </w:pP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neizgrađeni dio GP</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izgrađeni dio GP</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obiteljske stambene građevine Emax=Po+P+1</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500m2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250m2</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obiteljske stambene građevine Emax=Po+P+1+Pk</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500m2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350m2</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višestambene građevine Emax=Po+P+1</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500m2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500m2</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 xml:space="preserve">građevine nestambene namjene </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500m2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500m2</w:t>
            </w:r>
          </w:p>
        </w:tc>
      </w:tr>
    </w:tbl>
    <w:p w:rsidR="00C332E3" w:rsidRPr="00B10B96" w:rsidRDefault="00C332E3" w:rsidP="00C332E3">
      <w:pPr>
        <w:rPr>
          <w:rFonts w:ascii="Calibri" w:hAnsi="Calibri" w:cs="Calibri"/>
          <w:sz w:val="24"/>
          <w:szCs w:val="24"/>
        </w:rPr>
      </w:pPr>
    </w:p>
    <w:p w:rsidR="00C332E3" w:rsidRPr="00B10B96" w:rsidRDefault="00C332E3" w:rsidP="00C332E3">
      <w:pPr>
        <w:tabs>
          <w:tab w:val="left" w:pos="709"/>
        </w:tabs>
        <w:ind w:left="357" w:firstLine="66"/>
        <w:rPr>
          <w:rFonts w:ascii="Calibri" w:hAnsi="Calibri" w:cs="Calibri"/>
          <w:sz w:val="24"/>
          <w:szCs w:val="24"/>
        </w:rPr>
      </w:pPr>
      <w:r w:rsidRPr="00B10B96">
        <w:rPr>
          <w:rFonts w:ascii="Calibri" w:hAnsi="Calibri" w:cs="Calibri"/>
          <w:sz w:val="24"/>
          <w:szCs w:val="24"/>
        </w:rPr>
        <w:t></w:t>
      </w:r>
      <w:r w:rsidRPr="00B10B96">
        <w:rPr>
          <w:rFonts w:ascii="Calibri" w:hAnsi="Calibri" w:cs="Calibri"/>
          <w:sz w:val="24"/>
          <w:szCs w:val="24"/>
        </w:rPr>
        <w:tab/>
      </w:r>
      <w:r w:rsidRPr="00B10B96">
        <w:rPr>
          <w:rFonts w:ascii="Calibri" w:hAnsi="Calibri" w:cs="Calibri"/>
          <w:sz w:val="24"/>
          <w:szCs w:val="24"/>
          <w:lang w:val="de-DE"/>
        </w:rPr>
        <w:t>zadvojnegra</w:t>
      </w:r>
      <w:r w:rsidRPr="00B10B96">
        <w:rPr>
          <w:rFonts w:ascii="Calibri" w:hAnsi="Calibri" w:cs="Calibri"/>
          <w:sz w:val="24"/>
          <w:szCs w:val="24"/>
        </w:rPr>
        <w:t>đ</w:t>
      </w:r>
      <w:r w:rsidRPr="00B10B96">
        <w:rPr>
          <w:rFonts w:ascii="Calibri" w:hAnsi="Calibri" w:cs="Calibri"/>
          <w:sz w:val="24"/>
          <w:szCs w:val="24"/>
          <w:lang w:val="de-DE"/>
        </w:rPr>
        <w:t>evine</w:t>
      </w:r>
      <w:r w:rsidRPr="00B10B96">
        <w:rPr>
          <w:rFonts w:ascii="Calibri" w:hAnsi="Calibri" w:cs="Calibr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C332E3" w:rsidRPr="00B10B96" w:rsidTr="0029081E">
        <w:tc>
          <w:tcPr>
            <w:tcW w:w="5245" w:type="dxa"/>
          </w:tcPr>
          <w:p w:rsidR="00C332E3" w:rsidRPr="00B10B96" w:rsidRDefault="00C332E3" w:rsidP="0029081E">
            <w:pPr>
              <w:rPr>
                <w:rFonts w:ascii="Calibri" w:hAnsi="Calibri" w:cs="Calibri"/>
                <w:sz w:val="24"/>
                <w:szCs w:val="24"/>
              </w:rPr>
            </w:pP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neizgrađeni dio GP</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izgrađeni dio GP</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obiteljske stambene građevine Emax=Po+P+1</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400m2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250m2</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lastRenderedPageBreak/>
              <w:t>obiteljske stambene građevine Emax=Po+P+1+Pk</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400m2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300m2</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višestambene građevine Emax=Po+P+1</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400m2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400m2</w:t>
            </w:r>
          </w:p>
        </w:tc>
      </w:tr>
      <w:tr w:rsidR="00C332E3" w:rsidRPr="00B10B96" w:rsidTr="0029081E">
        <w:tc>
          <w:tcPr>
            <w:tcW w:w="5245" w:type="dxa"/>
          </w:tcPr>
          <w:p w:rsidR="00C332E3" w:rsidRPr="00B10B96" w:rsidRDefault="00C332E3" w:rsidP="0029081E">
            <w:pPr>
              <w:rPr>
                <w:rFonts w:ascii="Calibri" w:hAnsi="Calibri" w:cs="Calibri"/>
                <w:sz w:val="24"/>
                <w:szCs w:val="24"/>
              </w:rPr>
            </w:pPr>
            <w:r w:rsidRPr="00B10B96">
              <w:rPr>
                <w:rFonts w:ascii="Calibri" w:hAnsi="Calibri" w:cs="Calibri"/>
                <w:sz w:val="24"/>
                <w:szCs w:val="24"/>
              </w:rPr>
              <w:t xml:space="preserve">građevine nestambene namjene </w:t>
            </w:r>
          </w:p>
        </w:tc>
        <w:tc>
          <w:tcPr>
            <w:tcW w:w="2410"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400m2</w:t>
            </w:r>
          </w:p>
        </w:tc>
        <w:tc>
          <w:tcPr>
            <w:tcW w:w="1984" w:type="dxa"/>
          </w:tcPr>
          <w:p w:rsidR="00C332E3" w:rsidRPr="00B10B96" w:rsidRDefault="00C332E3" w:rsidP="0029081E">
            <w:pPr>
              <w:jc w:val="center"/>
              <w:rPr>
                <w:rFonts w:ascii="Calibri" w:hAnsi="Calibri" w:cs="Calibri"/>
                <w:sz w:val="24"/>
                <w:szCs w:val="24"/>
              </w:rPr>
            </w:pPr>
            <w:r w:rsidRPr="00B10B96">
              <w:rPr>
                <w:rFonts w:ascii="Calibri" w:hAnsi="Calibri" w:cs="Calibri"/>
                <w:sz w:val="24"/>
                <w:szCs w:val="24"/>
              </w:rPr>
              <w:t>400m2</w:t>
            </w:r>
          </w:p>
        </w:tc>
      </w:tr>
    </w:tbl>
    <w:p w:rsidR="00C332E3" w:rsidRPr="00B10B96" w:rsidRDefault="00C332E3" w:rsidP="00C332E3">
      <w:pPr>
        <w:tabs>
          <w:tab w:val="left" w:pos="709"/>
        </w:tabs>
        <w:ind w:firstLine="66"/>
        <w:rPr>
          <w:rFonts w:ascii="Calibri" w:hAnsi="Calibri" w:cs="Calibri"/>
          <w:sz w:val="24"/>
          <w:szCs w:val="24"/>
        </w:rPr>
      </w:pPr>
    </w:p>
    <w:p w:rsidR="00C332E3" w:rsidRPr="00BC00CC" w:rsidRDefault="00C332E3" w:rsidP="00C332E3">
      <w:pPr>
        <w:numPr>
          <w:ilvl w:val="0"/>
          <w:numId w:val="34"/>
        </w:numPr>
        <w:tabs>
          <w:tab w:val="left" w:pos="284"/>
        </w:tabs>
        <w:jc w:val="both"/>
        <w:rPr>
          <w:rFonts w:asciiTheme="minorHAnsi" w:hAnsiTheme="minorHAnsi" w:cstheme="minorHAnsi"/>
          <w:sz w:val="24"/>
          <w:szCs w:val="24"/>
          <w:lang w:val="it-IT"/>
        </w:rPr>
      </w:pPr>
      <w:r w:rsidRPr="00BC00CC">
        <w:rPr>
          <w:rFonts w:asciiTheme="minorHAnsi" w:hAnsiTheme="minorHAnsi" w:cstheme="minorHAnsi"/>
          <w:sz w:val="24"/>
          <w:szCs w:val="24"/>
          <w:lang w:val="it-IT"/>
        </w:rPr>
        <w:t>za građevine u nizu 200 m2. Maksimalna površina pojedine građevne čestice za građevine u nizu je 320m</w:t>
      </w:r>
      <w:r w:rsidRPr="00BC00CC">
        <w:rPr>
          <w:rFonts w:asciiTheme="minorHAnsi" w:hAnsiTheme="minorHAnsi" w:cstheme="minorHAnsi"/>
          <w:sz w:val="24"/>
          <w:szCs w:val="24"/>
          <w:vertAlign w:val="superscript"/>
        </w:rPr>
        <w:t>2</w:t>
      </w:r>
      <w:r w:rsidRPr="00BC00CC">
        <w:rPr>
          <w:rFonts w:asciiTheme="minorHAnsi" w:hAnsiTheme="minorHAnsi" w:cstheme="minorHAnsi"/>
          <w:sz w:val="24"/>
          <w:szCs w:val="24"/>
          <w:lang w:val="it-IT"/>
        </w:rPr>
        <w:t>.</w:t>
      </w:r>
    </w:p>
    <w:p w:rsidR="001D6A62" w:rsidRPr="001D6A62" w:rsidRDefault="00C332E3" w:rsidP="001D6A62">
      <w:pPr>
        <w:pStyle w:val="Header"/>
        <w:numPr>
          <w:ilvl w:val="0"/>
          <w:numId w:val="0"/>
        </w:numPr>
        <w:ind w:left="709"/>
        <w:rPr>
          <w:rFonts w:ascii="Calibri" w:hAnsi="Calibri" w:cs="Calibri"/>
          <w:color w:val="FF0000"/>
          <w:sz w:val="24"/>
          <w:szCs w:val="24"/>
          <w:lang w:val="it-IT"/>
        </w:rPr>
      </w:pPr>
      <w:r w:rsidRPr="00BC00CC">
        <w:rPr>
          <w:rFonts w:asciiTheme="minorHAnsi" w:hAnsiTheme="minorHAnsi" w:cstheme="minorHAnsi"/>
          <w:sz w:val="24"/>
          <w:szCs w:val="24"/>
          <w:lang w:val="it-IT"/>
        </w:rPr>
        <w:t>Minimalna građevna čestica može biti i do 20% manja od utvrđene ovim Planom ukoliko je njeno smanjenje rezultat potrebe formiranja ili rekonstrukcije javno prometne površine</w:t>
      </w:r>
      <w:r w:rsidR="001D6A62" w:rsidRPr="001D6A62">
        <w:rPr>
          <w:rFonts w:ascii="Calibri" w:hAnsi="Calibri" w:cs="Calibri"/>
          <w:sz w:val="24"/>
          <w:szCs w:val="24"/>
          <w:lang w:val="it-IT"/>
        </w:rPr>
        <w:t>utvrđene ovim Planom</w:t>
      </w:r>
      <w:r w:rsidR="00133D1D">
        <w:rPr>
          <w:rFonts w:ascii="Calibri" w:hAnsi="Calibri" w:cs="Calibri"/>
          <w:sz w:val="24"/>
          <w:szCs w:val="24"/>
          <w:lang w:val="it-IT"/>
        </w:rPr>
        <w:t>, a u skladu s čl. 10. ID PPU općine Sutivan.</w:t>
      </w:r>
      <w:r w:rsidR="001D6A62" w:rsidRPr="001D6A62">
        <w:rPr>
          <w:rFonts w:ascii="Calibri" w:hAnsi="Calibri" w:cs="Calibri"/>
          <w:sz w:val="24"/>
          <w:szCs w:val="24"/>
          <w:lang w:val="it-IT"/>
        </w:rPr>
        <w:t xml:space="preserve"> Ova odredba se primjenjuje u slučaju dogovora između vlasnika čestica i općine Sutivan o ustupanju potrebnog dijela čestice za formiranje javne prometne površine.</w:t>
      </w:r>
    </w:p>
    <w:p w:rsidR="00C332E3" w:rsidRPr="00BC00CC" w:rsidRDefault="00C332E3" w:rsidP="001D6A62">
      <w:pPr>
        <w:pStyle w:val="Header"/>
        <w:numPr>
          <w:ilvl w:val="0"/>
          <w:numId w:val="0"/>
        </w:numPr>
        <w:ind w:left="709"/>
        <w:rPr>
          <w:rFonts w:asciiTheme="minorHAnsi" w:hAnsiTheme="minorHAnsi" w:cstheme="minorHAnsi"/>
          <w:sz w:val="24"/>
          <w:szCs w:val="24"/>
          <w:lang w:val="it-IT"/>
        </w:rPr>
      </w:pPr>
    </w:p>
    <w:p w:rsidR="00C332E3" w:rsidRPr="00BC00CC" w:rsidRDefault="00C332E3" w:rsidP="001D6A62">
      <w:pPr>
        <w:pStyle w:val="BodyTextIndent"/>
        <w:tabs>
          <w:tab w:val="clear" w:pos="785"/>
          <w:tab w:val="left" w:pos="284"/>
          <w:tab w:val="num" w:pos="1353"/>
        </w:tabs>
        <w:spacing w:before="120"/>
        <w:ind w:left="568"/>
        <w:rPr>
          <w:rFonts w:asciiTheme="minorHAnsi" w:hAnsiTheme="minorHAnsi" w:cstheme="minorHAnsi"/>
          <w:sz w:val="24"/>
          <w:szCs w:val="24"/>
          <w:lang w:val="pt-BR"/>
        </w:rPr>
      </w:pPr>
      <w:r w:rsidRPr="00BC00CC">
        <w:rPr>
          <w:rFonts w:asciiTheme="minorHAnsi" w:hAnsiTheme="minorHAnsi" w:cstheme="minorHAnsi"/>
          <w:sz w:val="24"/>
          <w:szCs w:val="24"/>
          <w:lang w:val="pt-BR"/>
        </w:rPr>
        <w:t>Građevina u nizu je građevna cjelina od najmanje tri međusobno prislonjenih građevina približno jednakih gabarita i oblikovanja, čija gradnja, rekonstrukcija, dogradnja ili nadogradnja uvjetuje cjelovito rješenje građevne cjeline; maksimalna visina građevine u nizu je P+1+Pk.</w:t>
      </w:r>
    </w:p>
    <w:p w:rsidR="00C332E3" w:rsidRPr="00BC00CC" w:rsidRDefault="00C332E3" w:rsidP="00C332E3">
      <w:pPr>
        <w:pStyle w:val="Nabraj2"/>
        <w:numPr>
          <w:ilvl w:val="0"/>
          <w:numId w:val="0"/>
        </w:numPr>
        <w:ind w:left="709"/>
        <w:rPr>
          <w:rFonts w:asciiTheme="minorHAnsi" w:hAnsiTheme="minorHAnsi" w:cstheme="minorHAnsi"/>
          <w:strike/>
          <w:sz w:val="24"/>
          <w:szCs w:val="24"/>
        </w:rPr>
      </w:pPr>
    </w:p>
    <w:p w:rsidR="00C332E3" w:rsidRPr="00BC00CC" w:rsidRDefault="00C332E3" w:rsidP="00C332E3">
      <w:pPr>
        <w:jc w:val="both"/>
        <w:rPr>
          <w:rFonts w:asciiTheme="minorHAnsi" w:hAnsiTheme="minorHAnsi" w:cstheme="minorHAnsi"/>
          <w:sz w:val="24"/>
          <w:szCs w:val="24"/>
        </w:rPr>
      </w:pPr>
      <w:r w:rsidRPr="00BC00CC">
        <w:rPr>
          <w:rFonts w:asciiTheme="minorHAnsi" w:hAnsiTheme="minorHAnsi" w:cstheme="minorHAnsi"/>
          <w:sz w:val="24"/>
          <w:szCs w:val="24"/>
        </w:rPr>
        <w:t>Omogućava se izgradnja pomoćnih građevina s prostorima za rad i poslovne sadržaje, garaže i druge pomoćne prostorije. Pomoćna građevina je visine najviše jedne etaže maksimalne visine 3,0 m od najniže kote uređenog terena te uz mogućnost gradnje podruma i ravnog ili kosog krovišta bez nadozida. Zasebne pomoćne građevine ulaze u maksimalnu dopuštenu izgrađenost.</w:t>
      </w:r>
    </w:p>
    <w:p w:rsidR="00C332E3" w:rsidRPr="00BC00CC" w:rsidRDefault="00C332E3" w:rsidP="00C332E3">
      <w:pPr>
        <w:pStyle w:val="Nabraj2"/>
        <w:numPr>
          <w:ilvl w:val="0"/>
          <w:numId w:val="0"/>
        </w:numPr>
        <w:rPr>
          <w:rFonts w:asciiTheme="minorHAnsi" w:hAnsiTheme="minorHAnsi" w:cstheme="minorHAnsi"/>
          <w:sz w:val="24"/>
          <w:szCs w:val="24"/>
          <w:highlight w:val="yellow"/>
          <w:lang w:val="it-IT"/>
        </w:rPr>
      </w:pPr>
      <w:r w:rsidRPr="00BC00CC">
        <w:rPr>
          <w:rFonts w:asciiTheme="minorHAnsi" w:hAnsiTheme="minorHAnsi" w:cstheme="minorHAnsi"/>
          <w:sz w:val="24"/>
          <w:szCs w:val="24"/>
          <w:lang w:val="pt-BR"/>
        </w:rPr>
        <w:t xml:space="preserve">U slučaju kosog terena (nagiba većeg od 15 %)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C332E3" w:rsidRPr="00BC00CC" w:rsidRDefault="00C332E3" w:rsidP="00C332E3">
      <w:pPr>
        <w:jc w:val="both"/>
        <w:rPr>
          <w:rFonts w:asciiTheme="minorHAnsi" w:hAnsiTheme="minorHAnsi" w:cstheme="minorHAnsi"/>
          <w:sz w:val="24"/>
          <w:szCs w:val="24"/>
          <w:lang w:val="pt-BR"/>
        </w:rPr>
      </w:pPr>
      <w:r w:rsidRPr="00BC00CC">
        <w:rPr>
          <w:rFonts w:asciiTheme="minorHAnsi" w:hAnsiTheme="minorHAnsi" w:cstheme="minorHAnsi"/>
          <w:sz w:val="24"/>
          <w:szCs w:val="24"/>
          <w:lang w:val="pt-BR"/>
        </w:rPr>
        <w:t>Na građevnoj čestici u pojasu širine 6,0 m od regulacijskog pravca nije dopuštena gradnja iznad gornje kote ploče podrumskog dijela građevine.</w:t>
      </w:r>
    </w:p>
    <w:p w:rsidR="00C332E3" w:rsidRPr="00BC00CC" w:rsidRDefault="00C332E3" w:rsidP="00C332E3">
      <w:pPr>
        <w:jc w:val="both"/>
        <w:rPr>
          <w:rFonts w:asciiTheme="minorHAnsi" w:hAnsiTheme="minorHAnsi" w:cstheme="minorHAnsi"/>
          <w:sz w:val="24"/>
          <w:szCs w:val="24"/>
        </w:rPr>
      </w:pPr>
      <w:r w:rsidRPr="00BC00CC">
        <w:rPr>
          <w:rFonts w:asciiTheme="minorHAnsi" w:hAnsiTheme="minorHAnsi" w:cstheme="minorHAnsi"/>
          <w:sz w:val="24"/>
          <w:szCs w:val="24"/>
        </w:rP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BC00CC">
        <w:rPr>
          <w:rFonts w:asciiTheme="minorHAnsi" w:hAnsiTheme="minorHAnsi" w:cstheme="minorHAnsi"/>
          <w:sz w:val="24"/>
          <w:szCs w:val="24"/>
          <w:vertAlign w:val="subscript"/>
        </w:rPr>
        <w:t>ig</w:t>
      </w:r>
      <w:r w:rsidRPr="00BC00CC">
        <w:rPr>
          <w:rFonts w:asciiTheme="minorHAnsi" w:hAnsiTheme="minorHAnsi" w:cstheme="minorHAnsi"/>
          <w:sz w:val="24"/>
          <w:szCs w:val="24"/>
        </w:rPr>
        <w:t>). Na krovnoj ploči ovih pomoćnih prostora je moguće parkiranje vozila.</w:t>
      </w:r>
    </w:p>
    <w:p w:rsidR="00315132" w:rsidRPr="00BC00CC" w:rsidRDefault="00315132">
      <w:pPr>
        <w:pStyle w:val="janja"/>
        <w:spacing w:after="144"/>
        <w:rPr>
          <w:rFonts w:asciiTheme="minorHAnsi" w:hAnsiTheme="minorHAnsi" w:cstheme="minorHAnsi"/>
          <w:b/>
          <w:sz w:val="24"/>
          <w:szCs w:val="24"/>
          <w:lang w:val="hr-HR"/>
        </w:rPr>
      </w:pPr>
    </w:p>
    <w:p w:rsidR="00315132" w:rsidRPr="00BC00CC" w:rsidRDefault="00315132">
      <w:pPr>
        <w:pStyle w:val="janja"/>
        <w:spacing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 xml:space="preserve">Izgrađenost </w:t>
      </w:r>
      <w:r w:rsidR="0014577A" w:rsidRPr="00BC00CC">
        <w:rPr>
          <w:rFonts w:asciiTheme="minorHAnsi" w:hAnsiTheme="minorHAnsi" w:cstheme="minorHAnsi"/>
          <w:b/>
          <w:sz w:val="24"/>
          <w:szCs w:val="24"/>
          <w:lang w:val="hr-HR"/>
        </w:rPr>
        <w:t>i iskorištenost</w:t>
      </w:r>
      <w:r w:rsidRPr="00BC00CC">
        <w:rPr>
          <w:rFonts w:asciiTheme="minorHAnsi" w:hAnsiTheme="minorHAnsi" w:cstheme="minorHAnsi"/>
          <w:b/>
          <w:sz w:val="24"/>
          <w:szCs w:val="24"/>
          <w:lang w:val="hr-HR"/>
        </w:rPr>
        <w:t>građevnih čestica</w:t>
      </w:r>
    </w:p>
    <w:p w:rsidR="00315132" w:rsidRPr="00BC00CC" w:rsidRDefault="00315132" w:rsidP="00B10B96">
      <w:pPr>
        <w:pStyle w:val="Caption"/>
        <w:tabs>
          <w:tab w:val="num" w:pos="426"/>
        </w:tabs>
        <w:jc w:val="left"/>
        <w:rPr>
          <w:rFonts w:asciiTheme="minorHAnsi" w:hAnsiTheme="minorHAnsi" w:cstheme="minorHAnsi"/>
          <w:szCs w:val="24"/>
        </w:rPr>
      </w:pPr>
      <w:r w:rsidRPr="00BC00CC">
        <w:rPr>
          <w:rFonts w:asciiTheme="minorHAnsi" w:hAnsiTheme="minorHAnsi" w:cstheme="minorHAnsi"/>
          <w:szCs w:val="24"/>
        </w:rPr>
        <w:t xml:space="preserve">Članak </w:t>
      </w:r>
      <w:r w:rsidR="00D15348" w:rsidRPr="00BC00CC">
        <w:rPr>
          <w:rFonts w:asciiTheme="minorHAnsi" w:hAnsiTheme="minorHAnsi" w:cstheme="minorHAnsi"/>
          <w:szCs w:val="24"/>
        </w:rPr>
        <w:fldChar w:fldCharType="begin"/>
      </w:r>
      <w:r w:rsidRPr="00BC00CC">
        <w:rPr>
          <w:rFonts w:asciiTheme="minorHAnsi" w:hAnsiTheme="minorHAnsi" w:cstheme="minorHAnsi"/>
          <w:szCs w:val="24"/>
        </w:rPr>
        <w:instrText xml:space="preserve"> SEQ Članak \* ARABIC </w:instrText>
      </w:r>
      <w:r w:rsidR="00D15348" w:rsidRPr="00BC00CC">
        <w:rPr>
          <w:rFonts w:asciiTheme="minorHAnsi" w:hAnsiTheme="minorHAnsi" w:cstheme="minorHAnsi"/>
          <w:szCs w:val="24"/>
        </w:rPr>
        <w:fldChar w:fldCharType="separate"/>
      </w:r>
      <w:r w:rsidR="001A3124">
        <w:rPr>
          <w:rFonts w:asciiTheme="minorHAnsi" w:hAnsiTheme="minorHAnsi" w:cstheme="minorHAnsi"/>
          <w:noProof/>
          <w:szCs w:val="24"/>
        </w:rPr>
        <w:t>10</w:t>
      </w:r>
      <w:r w:rsidR="00D15348" w:rsidRPr="00BC00CC">
        <w:rPr>
          <w:rFonts w:asciiTheme="minorHAnsi" w:hAnsiTheme="minorHAnsi" w:cstheme="minorHAnsi"/>
          <w:szCs w:val="24"/>
        </w:rPr>
        <w:fldChar w:fldCharType="end"/>
      </w:r>
      <w:r w:rsidRPr="00BC00CC">
        <w:rPr>
          <w:rFonts w:asciiTheme="minorHAnsi" w:hAnsiTheme="minorHAnsi" w:cstheme="minorHAnsi"/>
          <w:szCs w:val="24"/>
        </w:rPr>
        <w:t>.</w:t>
      </w:r>
    </w:p>
    <w:p w:rsidR="00B10B96" w:rsidRPr="00BC00CC" w:rsidRDefault="00B10B96" w:rsidP="00B10B96">
      <w:pPr>
        <w:numPr>
          <w:ilvl w:val="0"/>
          <w:numId w:val="0"/>
        </w:numPr>
        <w:rPr>
          <w:rFonts w:asciiTheme="minorHAnsi" w:hAnsiTheme="minorHAnsi" w:cstheme="minorHAnsi"/>
          <w:sz w:val="24"/>
          <w:szCs w:val="24"/>
          <w:lang w:val="hr-HR"/>
        </w:rPr>
      </w:pPr>
    </w:p>
    <w:p w:rsidR="00B10B96" w:rsidRPr="00BC00CC" w:rsidRDefault="00B10B96" w:rsidP="00B10B96">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10. mijenja se i sada glasi</w:t>
      </w:r>
      <w:r w:rsidR="00BC00CC">
        <w:rPr>
          <w:rFonts w:asciiTheme="minorHAnsi" w:hAnsiTheme="minorHAnsi" w:cstheme="minorHAnsi"/>
          <w:sz w:val="24"/>
          <w:szCs w:val="24"/>
          <w:lang w:val="hr-HR"/>
        </w:rPr>
        <w:t>:</w:t>
      </w:r>
    </w:p>
    <w:p w:rsidR="00EC4B13" w:rsidRPr="00BC00CC" w:rsidRDefault="00EC4B13" w:rsidP="00B10B96">
      <w:pPr>
        <w:numPr>
          <w:ilvl w:val="0"/>
          <w:numId w:val="0"/>
        </w:numPr>
        <w:rPr>
          <w:rFonts w:asciiTheme="minorHAnsi" w:hAnsiTheme="minorHAnsi" w:cstheme="minorHAnsi"/>
          <w:b/>
          <w:sz w:val="24"/>
          <w:szCs w:val="24"/>
          <w:lang w:val="hr-HR"/>
        </w:rPr>
      </w:pPr>
    </w:p>
    <w:p w:rsidR="00D71E9C" w:rsidRPr="00BC00CC" w:rsidRDefault="00D71E9C" w:rsidP="00D71E9C">
      <w:pPr>
        <w:pStyle w:val="Nabraj2"/>
        <w:numPr>
          <w:ilvl w:val="0"/>
          <w:numId w:val="23"/>
        </w:numPr>
        <w:rPr>
          <w:rFonts w:asciiTheme="minorHAnsi" w:hAnsiTheme="minorHAnsi" w:cstheme="minorHAnsi"/>
          <w:sz w:val="24"/>
          <w:szCs w:val="24"/>
        </w:rPr>
      </w:pPr>
      <w:r w:rsidRPr="00BC00CC">
        <w:rPr>
          <w:rFonts w:asciiTheme="minorHAnsi" w:hAnsiTheme="minorHAnsi" w:cstheme="minorHAnsi"/>
          <w:sz w:val="24"/>
          <w:szCs w:val="24"/>
        </w:rPr>
        <w:t xml:space="preserve">Građevna čestica na kojoj se može graditi stambena građevina ima ukupan postotak izgrađenosti, koji se određuje prema </w:t>
      </w:r>
      <w:r w:rsidRPr="00BC00CC">
        <w:rPr>
          <w:rFonts w:asciiTheme="minorHAnsi" w:hAnsiTheme="minorHAnsi" w:cstheme="minorHAnsi"/>
          <w:b/>
          <w:bCs/>
          <w:sz w:val="24"/>
          <w:szCs w:val="24"/>
        </w:rPr>
        <w:t>Tablici I</w:t>
      </w:r>
      <w:r w:rsidRPr="00BC00CC">
        <w:rPr>
          <w:rFonts w:asciiTheme="minorHAnsi" w:hAnsiTheme="minorHAnsi" w:cstheme="minorHAnsi"/>
          <w:sz w:val="24"/>
          <w:szCs w:val="24"/>
        </w:rPr>
        <w:t>:</w:t>
      </w:r>
    </w:p>
    <w:p w:rsidR="006A35D3" w:rsidRDefault="006A35D3" w:rsidP="006A35D3">
      <w:pPr>
        <w:pStyle w:val="Nabraj2"/>
        <w:numPr>
          <w:ilvl w:val="0"/>
          <w:numId w:val="0"/>
        </w:numPr>
        <w:ind w:left="709" w:hanging="284"/>
        <w:rPr>
          <w:color w:val="FF0000"/>
        </w:rPr>
      </w:pPr>
    </w:p>
    <w:p w:rsidR="001D6A62" w:rsidRDefault="001D6A62" w:rsidP="006A35D3">
      <w:pPr>
        <w:pStyle w:val="Nabraj2"/>
        <w:numPr>
          <w:ilvl w:val="0"/>
          <w:numId w:val="0"/>
        </w:numPr>
        <w:ind w:left="709" w:hanging="284"/>
        <w:rPr>
          <w:color w:val="FF0000"/>
        </w:rPr>
      </w:pPr>
    </w:p>
    <w:p w:rsidR="001D6A62" w:rsidRDefault="001D6A62" w:rsidP="006A35D3">
      <w:pPr>
        <w:pStyle w:val="Nabraj2"/>
        <w:numPr>
          <w:ilvl w:val="0"/>
          <w:numId w:val="0"/>
        </w:numPr>
        <w:ind w:left="709" w:hanging="284"/>
        <w:rPr>
          <w:color w:val="FF0000"/>
        </w:rPr>
      </w:pPr>
    </w:p>
    <w:p w:rsidR="009E3421" w:rsidRDefault="009E3421" w:rsidP="006A35D3">
      <w:pPr>
        <w:pStyle w:val="Nabraj2"/>
        <w:numPr>
          <w:ilvl w:val="0"/>
          <w:numId w:val="0"/>
        </w:numPr>
        <w:ind w:left="709" w:hanging="284"/>
        <w:rPr>
          <w:color w:val="FF0000"/>
        </w:rPr>
      </w:pPr>
    </w:p>
    <w:p w:rsidR="009E3421" w:rsidRDefault="009E3421" w:rsidP="006A35D3">
      <w:pPr>
        <w:pStyle w:val="Nabraj2"/>
        <w:numPr>
          <w:ilvl w:val="0"/>
          <w:numId w:val="0"/>
        </w:numPr>
        <w:ind w:left="709" w:hanging="284"/>
        <w:rPr>
          <w:color w:val="FF0000"/>
        </w:rPr>
      </w:pPr>
    </w:p>
    <w:p w:rsidR="006A35D3" w:rsidRDefault="006A35D3" w:rsidP="006A35D3">
      <w:pPr>
        <w:pStyle w:val="Nabraj2"/>
        <w:numPr>
          <w:ilvl w:val="0"/>
          <w:numId w:val="0"/>
        </w:numPr>
        <w:ind w:left="709" w:hanging="284"/>
        <w:rPr>
          <w:color w:val="FF0000"/>
        </w:rPr>
      </w:pPr>
    </w:p>
    <w:p w:rsidR="00D71E9C" w:rsidRDefault="00D71E9C" w:rsidP="00D71E9C">
      <w:pPr>
        <w:jc w:val="both"/>
        <w:rPr>
          <w:rFonts w:ascii="Arial" w:hAnsi="Arial" w:cs="Arial"/>
        </w:rPr>
      </w:pPr>
      <w:r>
        <w:rPr>
          <w:rFonts w:ascii="Tahoma" w:hAnsi="Tahoma" w:cs="Tahoma"/>
        </w:rPr>
        <w:lastRenderedPageBreak/>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1393"/>
        <w:gridCol w:w="1393"/>
      </w:tblGrid>
      <w:tr w:rsidR="00D71E9C" w:rsidRPr="00EC4B13" w:rsidTr="00A34A66">
        <w:trPr>
          <w:cantSplit/>
        </w:trPr>
        <w:tc>
          <w:tcPr>
            <w:tcW w:w="1936" w:type="dxa"/>
            <w:gridSpan w:val="2"/>
            <w:vAlign w:val="center"/>
          </w:tcPr>
          <w:p w:rsidR="00D71E9C" w:rsidRPr="00EC4B13" w:rsidRDefault="00D71E9C" w:rsidP="00A34A66">
            <w:pPr>
              <w:pStyle w:val="BodyText"/>
              <w:jc w:val="center"/>
              <w:rPr>
                <w:rFonts w:ascii="Arial" w:hAnsi="Arial" w:cs="Arial"/>
                <w:b/>
                <w:bCs/>
                <w:sz w:val="18"/>
                <w:szCs w:val="18"/>
              </w:rPr>
            </w:pPr>
            <w:r w:rsidRPr="00EC4B13">
              <w:rPr>
                <w:rFonts w:ascii="Arial" w:hAnsi="Arial" w:cs="Arial"/>
                <w:b/>
                <w:bCs/>
                <w:sz w:val="18"/>
                <w:szCs w:val="18"/>
              </w:rPr>
              <w:t>POVRŠINA</w:t>
            </w:r>
          </w:p>
          <w:p w:rsidR="00D71E9C" w:rsidRPr="00EC4B13" w:rsidRDefault="00D71E9C" w:rsidP="00A34A66">
            <w:pPr>
              <w:pStyle w:val="BodyText"/>
              <w:jc w:val="center"/>
              <w:rPr>
                <w:rFonts w:ascii="Arial" w:hAnsi="Arial" w:cs="Arial"/>
                <w:b/>
                <w:bCs/>
                <w:sz w:val="18"/>
                <w:szCs w:val="18"/>
              </w:rPr>
            </w:pPr>
            <w:r w:rsidRPr="00EC4B13">
              <w:rPr>
                <w:rFonts w:ascii="Arial" w:hAnsi="Arial" w:cs="Arial"/>
                <w:b/>
                <w:bCs/>
                <w:sz w:val="18"/>
                <w:szCs w:val="18"/>
              </w:rPr>
              <w:t xml:space="preserve"> GRAĐEVNE</w:t>
            </w:r>
          </w:p>
          <w:p w:rsidR="00D71E9C" w:rsidRPr="00EC4B13" w:rsidRDefault="00D71E9C" w:rsidP="00A34A66">
            <w:pPr>
              <w:pStyle w:val="BodyText"/>
              <w:jc w:val="center"/>
              <w:rPr>
                <w:rFonts w:ascii="Arial" w:hAnsi="Arial" w:cs="Arial"/>
                <w:b/>
                <w:bCs/>
                <w:sz w:val="18"/>
                <w:szCs w:val="18"/>
              </w:rPr>
            </w:pPr>
            <w:r w:rsidRPr="00EC4B13">
              <w:rPr>
                <w:rFonts w:ascii="Arial" w:hAnsi="Arial" w:cs="Arial"/>
                <w:b/>
                <w:bCs/>
                <w:sz w:val="18"/>
                <w:szCs w:val="18"/>
              </w:rPr>
              <w:t xml:space="preserve"> ČESTICE</w:t>
            </w:r>
          </w:p>
          <w:p w:rsidR="00D71E9C" w:rsidRPr="00EC4B13" w:rsidRDefault="00D71E9C" w:rsidP="00A34A66">
            <w:pPr>
              <w:pStyle w:val="BodyText"/>
              <w:jc w:val="center"/>
              <w:rPr>
                <w:rFonts w:ascii="Arial" w:hAnsi="Arial" w:cs="Arial"/>
                <w:b/>
                <w:bCs/>
                <w:sz w:val="18"/>
                <w:szCs w:val="18"/>
              </w:rPr>
            </w:pPr>
          </w:p>
        </w:tc>
        <w:tc>
          <w:tcPr>
            <w:tcW w:w="5376" w:type="dxa"/>
            <w:gridSpan w:val="5"/>
            <w:vAlign w:val="center"/>
          </w:tcPr>
          <w:p w:rsidR="00D71E9C" w:rsidRPr="00EC4B13" w:rsidRDefault="00D71E9C" w:rsidP="00A34A66">
            <w:pPr>
              <w:pStyle w:val="BodyText"/>
              <w:jc w:val="center"/>
              <w:rPr>
                <w:rFonts w:ascii="Arial" w:hAnsi="Arial" w:cs="Arial"/>
                <w:b/>
                <w:bCs/>
                <w:sz w:val="18"/>
                <w:szCs w:val="18"/>
              </w:rPr>
            </w:pPr>
            <w:r w:rsidRPr="00EC4B13">
              <w:rPr>
                <w:rFonts w:ascii="Arial" w:hAnsi="Arial" w:cs="Arial"/>
                <w:b/>
                <w:bCs/>
                <w:sz w:val="18"/>
                <w:szCs w:val="18"/>
              </w:rPr>
              <w:t>TLOCRTNA POVRŠINA GRAĐEVINE</w:t>
            </w:r>
          </w:p>
        </w:tc>
        <w:tc>
          <w:tcPr>
            <w:tcW w:w="1976" w:type="dxa"/>
            <w:gridSpan w:val="2"/>
            <w:vMerge w:val="restart"/>
          </w:tcPr>
          <w:p w:rsidR="00D71E9C" w:rsidRPr="00EC4B13" w:rsidRDefault="00D71E9C" w:rsidP="00A34A66">
            <w:pPr>
              <w:pStyle w:val="BodyText"/>
              <w:jc w:val="center"/>
              <w:rPr>
                <w:rFonts w:ascii="Arial" w:hAnsi="Arial" w:cs="Arial"/>
                <w:b/>
                <w:bCs/>
                <w:sz w:val="18"/>
                <w:szCs w:val="18"/>
              </w:rPr>
            </w:pPr>
            <w:r w:rsidRPr="00EC4B13">
              <w:rPr>
                <w:rFonts w:ascii="Arial" w:hAnsi="Arial" w:cs="Arial"/>
                <w:b/>
                <w:bCs/>
                <w:sz w:val="18"/>
                <w:szCs w:val="18"/>
              </w:rPr>
              <w:t>KOEFICIJENT IZGRAĐENOSTI GRAĐEVNE</w:t>
            </w:r>
          </w:p>
          <w:p w:rsidR="00D71E9C" w:rsidRPr="00EC4B13" w:rsidRDefault="00D71E9C" w:rsidP="00A34A66">
            <w:pPr>
              <w:pStyle w:val="BodyText"/>
              <w:jc w:val="center"/>
              <w:rPr>
                <w:rFonts w:ascii="Arial" w:hAnsi="Arial" w:cs="Arial"/>
                <w:b/>
                <w:bCs/>
              </w:rPr>
            </w:pPr>
            <w:r w:rsidRPr="00EC4B13">
              <w:rPr>
                <w:rFonts w:ascii="Arial" w:hAnsi="Arial" w:cs="Arial"/>
                <w:b/>
                <w:bCs/>
                <w:sz w:val="18"/>
                <w:szCs w:val="18"/>
              </w:rPr>
              <w:t>ČESTICE</w:t>
            </w:r>
          </w:p>
          <w:p w:rsidR="00D71E9C" w:rsidRPr="00EC4B13" w:rsidRDefault="00D71E9C" w:rsidP="00A34A66">
            <w:pPr>
              <w:pStyle w:val="BodyText"/>
              <w:jc w:val="center"/>
              <w:rPr>
                <w:rFonts w:ascii="Arial" w:hAnsi="Arial" w:cs="Arial"/>
              </w:rPr>
            </w:pPr>
            <w:r w:rsidRPr="00EC4B13">
              <w:rPr>
                <w:rFonts w:ascii="Arial" w:hAnsi="Arial" w:cs="Arial"/>
              </w:rPr>
              <w:t>kig</w:t>
            </w:r>
          </w:p>
        </w:tc>
      </w:tr>
      <w:tr w:rsidR="00D71E9C" w:rsidRPr="00EC4B13" w:rsidTr="00A34A66">
        <w:trPr>
          <w:cantSplit/>
        </w:trPr>
        <w:tc>
          <w:tcPr>
            <w:tcW w:w="96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OD</w:t>
            </w:r>
          </w:p>
          <w:p w:rsidR="00D71E9C" w:rsidRPr="00EC4B13" w:rsidRDefault="00D71E9C" w:rsidP="00A34A66">
            <w:pPr>
              <w:pStyle w:val="BodyText"/>
              <w:rPr>
                <w:rFonts w:ascii="Arial" w:hAnsi="Arial" w:cs="Arial"/>
                <w:b/>
                <w:bCs/>
                <w:sz w:val="18"/>
                <w:szCs w:val="18"/>
              </w:rPr>
            </w:pPr>
          </w:p>
          <w:p w:rsidR="00D71E9C" w:rsidRPr="00EC4B13" w:rsidRDefault="00D71E9C" w:rsidP="00A34A66">
            <w:pPr>
              <w:pStyle w:val="BodyText"/>
              <w:rPr>
                <w:rFonts w:ascii="Arial" w:hAnsi="Arial" w:cs="Arial"/>
                <w:b/>
                <w:bCs/>
                <w:sz w:val="18"/>
                <w:szCs w:val="18"/>
              </w:rPr>
            </w:pPr>
          </w:p>
        </w:tc>
        <w:tc>
          <w:tcPr>
            <w:tcW w:w="96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DO</w:t>
            </w:r>
          </w:p>
        </w:tc>
        <w:tc>
          <w:tcPr>
            <w:tcW w:w="1976" w:type="dxa"/>
            <w:gridSpan w:val="2"/>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NAJMANJA TLOCRTNA POVRŠINA</w:t>
            </w:r>
          </w:p>
        </w:tc>
        <w:tc>
          <w:tcPr>
            <w:tcW w:w="1975" w:type="dxa"/>
            <w:gridSpan w:val="2"/>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NAJVEĆA TLOCRTNA POVRŠINA</w:t>
            </w:r>
          </w:p>
        </w:tc>
        <w:tc>
          <w:tcPr>
            <w:tcW w:w="1425"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SREDNJA TLOCRTNA POVRŠINA</w:t>
            </w:r>
          </w:p>
        </w:tc>
        <w:tc>
          <w:tcPr>
            <w:tcW w:w="1976" w:type="dxa"/>
            <w:gridSpan w:val="2"/>
            <w:vMerge/>
          </w:tcPr>
          <w:p w:rsidR="00D71E9C" w:rsidRPr="00EC4B13" w:rsidRDefault="00D71E9C" w:rsidP="00A34A66">
            <w:pPr>
              <w:pStyle w:val="BodyText"/>
              <w:rPr>
                <w:rFonts w:ascii="Arial" w:hAnsi="Arial" w:cs="Arial"/>
                <w:b/>
                <w:bCs/>
              </w:rPr>
            </w:pPr>
          </w:p>
        </w:tc>
      </w:tr>
      <w:tr w:rsidR="00D71E9C" w:rsidRPr="00EC4B13" w:rsidTr="00A34A66">
        <w:tc>
          <w:tcPr>
            <w:tcW w:w="96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M2</w:t>
            </w:r>
          </w:p>
        </w:tc>
        <w:tc>
          <w:tcPr>
            <w:tcW w:w="96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M2</w:t>
            </w:r>
          </w:p>
        </w:tc>
        <w:tc>
          <w:tcPr>
            <w:tcW w:w="98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Min</w:t>
            </w:r>
          </w:p>
        </w:tc>
        <w:tc>
          <w:tcPr>
            <w:tcW w:w="98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Max</w:t>
            </w:r>
          </w:p>
        </w:tc>
        <w:tc>
          <w:tcPr>
            <w:tcW w:w="997"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Min</w:t>
            </w:r>
          </w:p>
        </w:tc>
        <w:tc>
          <w:tcPr>
            <w:tcW w:w="978"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Max</w:t>
            </w:r>
          </w:p>
        </w:tc>
        <w:tc>
          <w:tcPr>
            <w:tcW w:w="1425"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M2</w:t>
            </w:r>
          </w:p>
        </w:tc>
        <w:tc>
          <w:tcPr>
            <w:tcW w:w="986"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Min</w:t>
            </w:r>
            <w:r w:rsidRPr="00EC4B13">
              <w:rPr>
                <w:rFonts w:ascii="Arial" w:hAnsi="Arial" w:cs="Arial"/>
                <w:b/>
                <w:bCs/>
                <w:sz w:val="18"/>
                <w:szCs w:val="18"/>
              </w:rPr>
              <w:sym w:font="Symbol" w:char="F025"/>
            </w:r>
          </w:p>
        </w:tc>
        <w:tc>
          <w:tcPr>
            <w:tcW w:w="990" w:type="dxa"/>
          </w:tcPr>
          <w:p w:rsidR="00D71E9C" w:rsidRPr="00EC4B13" w:rsidRDefault="00D71E9C" w:rsidP="00A34A66">
            <w:pPr>
              <w:pStyle w:val="BodyText"/>
              <w:rPr>
                <w:rFonts w:ascii="Arial" w:hAnsi="Arial" w:cs="Arial"/>
                <w:b/>
                <w:bCs/>
                <w:sz w:val="18"/>
                <w:szCs w:val="18"/>
              </w:rPr>
            </w:pPr>
            <w:r w:rsidRPr="00EC4B13">
              <w:rPr>
                <w:rFonts w:ascii="Arial" w:hAnsi="Arial" w:cs="Arial"/>
                <w:b/>
                <w:bCs/>
                <w:sz w:val="18"/>
                <w:szCs w:val="18"/>
              </w:rPr>
              <w:t>Max</w:t>
            </w:r>
            <w:r w:rsidRPr="00EC4B13">
              <w:rPr>
                <w:rFonts w:ascii="Arial" w:hAnsi="Arial" w:cs="Arial"/>
                <w:b/>
                <w:bCs/>
                <w:sz w:val="18"/>
                <w:szCs w:val="18"/>
              </w:rPr>
              <w:sym w:font="Symbol" w:char="F025"/>
            </w:r>
          </w:p>
        </w:tc>
      </w:tr>
      <w:tr w:rsidR="00D71E9C" w:rsidRPr="00EC4B13" w:rsidTr="00A34A66">
        <w:trPr>
          <w:trHeight w:val="397"/>
        </w:trPr>
        <w:tc>
          <w:tcPr>
            <w:tcW w:w="968" w:type="dxa"/>
            <w:shd w:val="clear" w:color="auto" w:fill="B3B3B3"/>
          </w:tcPr>
          <w:p w:rsidR="00D71E9C" w:rsidRPr="00EC4B13" w:rsidRDefault="001D6A62" w:rsidP="00A34A66">
            <w:pPr>
              <w:pStyle w:val="BodyText"/>
              <w:rPr>
                <w:rFonts w:ascii="Arial" w:hAnsi="Arial" w:cs="Arial"/>
                <w:b/>
                <w:bCs/>
              </w:rPr>
            </w:pPr>
            <w:r>
              <w:rPr>
                <w:rFonts w:ascii="Arial" w:hAnsi="Arial" w:cs="Arial"/>
                <w:b/>
                <w:bCs/>
              </w:rPr>
              <w:t>30</w:t>
            </w:r>
            <w:r w:rsidR="00D71E9C" w:rsidRPr="00EC4B13">
              <w:rPr>
                <w:rFonts w:ascii="Arial" w:hAnsi="Arial" w:cs="Arial"/>
                <w:b/>
                <w:bCs/>
              </w:rPr>
              <w:t>0</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350</w:t>
            </w:r>
          </w:p>
        </w:tc>
        <w:tc>
          <w:tcPr>
            <w:tcW w:w="988" w:type="dxa"/>
          </w:tcPr>
          <w:p w:rsidR="00D71E9C" w:rsidRPr="00EC4B13" w:rsidRDefault="00D71E9C" w:rsidP="00A34A66">
            <w:pPr>
              <w:pStyle w:val="BodyText"/>
              <w:rPr>
                <w:rFonts w:ascii="Arial" w:hAnsi="Arial" w:cs="Arial"/>
              </w:rPr>
            </w:pPr>
            <w:r w:rsidRPr="00EC4B13">
              <w:rPr>
                <w:rFonts w:ascii="Arial" w:hAnsi="Arial" w:cs="Arial"/>
              </w:rPr>
              <w:t>42,50</w:t>
            </w:r>
          </w:p>
        </w:tc>
        <w:tc>
          <w:tcPr>
            <w:tcW w:w="988" w:type="dxa"/>
          </w:tcPr>
          <w:p w:rsidR="00D71E9C" w:rsidRPr="00EC4B13" w:rsidRDefault="00D71E9C" w:rsidP="00A34A66">
            <w:pPr>
              <w:pStyle w:val="BodyText"/>
              <w:rPr>
                <w:rFonts w:ascii="Arial" w:hAnsi="Arial" w:cs="Arial"/>
              </w:rPr>
            </w:pPr>
            <w:r w:rsidRPr="00EC4B13">
              <w:rPr>
                <w:rFonts w:ascii="Arial" w:hAnsi="Arial" w:cs="Arial"/>
              </w:rPr>
              <w:t>87,50</w:t>
            </w:r>
          </w:p>
        </w:tc>
        <w:tc>
          <w:tcPr>
            <w:tcW w:w="997" w:type="dxa"/>
          </w:tcPr>
          <w:p w:rsidR="00D71E9C" w:rsidRPr="00EC4B13" w:rsidRDefault="00D71E9C" w:rsidP="00A34A66">
            <w:pPr>
              <w:pStyle w:val="BodyText"/>
              <w:rPr>
                <w:rFonts w:ascii="Arial" w:hAnsi="Arial" w:cs="Arial"/>
              </w:rPr>
            </w:pPr>
            <w:r w:rsidRPr="00EC4B13">
              <w:rPr>
                <w:rFonts w:ascii="Arial" w:hAnsi="Arial" w:cs="Arial"/>
              </w:rPr>
              <w:t>59,50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122,50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82,50</w:t>
            </w:r>
          </w:p>
        </w:tc>
        <w:tc>
          <w:tcPr>
            <w:tcW w:w="986" w:type="dxa"/>
          </w:tcPr>
          <w:p w:rsidR="00D71E9C" w:rsidRPr="00EC4B13" w:rsidRDefault="00D71E9C" w:rsidP="00EB6E1A">
            <w:pPr>
              <w:pStyle w:val="BodyText"/>
              <w:jc w:val="center"/>
              <w:rPr>
                <w:rFonts w:ascii="Arial" w:hAnsi="Arial" w:cs="Arial"/>
              </w:rPr>
            </w:pPr>
            <w:r w:rsidRPr="00EC4B13">
              <w:rPr>
                <w:rFonts w:ascii="Arial" w:hAnsi="Arial" w:cs="Arial"/>
              </w:rPr>
              <w:t>0,17</w:t>
            </w:r>
          </w:p>
        </w:tc>
        <w:tc>
          <w:tcPr>
            <w:tcW w:w="990" w:type="dxa"/>
          </w:tcPr>
          <w:p w:rsidR="00D71E9C" w:rsidRPr="00EC4B13" w:rsidRDefault="00D71E9C" w:rsidP="00A34A66">
            <w:pPr>
              <w:pStyle w:val="BodyText"/>
              <w:rPr>
                <w:rFonts w:ascii="Arial" w:hAnsi="Arial" w:cs="Arial"/>
              </w:rPr>
            </w:pPr>
            <w:r w:rsidRPr="00EC4B13">
              <w:rPr>
                <w:rFonts w:ascii="Arial" w:hAnsi="Arial" w:cs="Arial"/>
              </w:rPr>
              <w:t>0,35</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351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400</w:t>
            </w:r>
          </w:p>
        </w:tc>
        <w:tc>
          <w:tcPr>
            <w:tcW w:w="988" w:type="dxa"/>
          </w:tcPr>
          <w:p w:rsidR="00D71E9C" w:rsidRPr="00EC4B13" w:rsidRDefault="00D71E9C" w:rsidP="00A34A66">
            <w:pPr>
              <w:pStyle w:val="BodyText"/>
              <w:rPr>
                <w:rFonts w:ascii="Arial" w:hAnsi="Arial" w:cs="Arial"/>
              </w:rPr>
            </w:pPr>
            <w:r w:rsidRPr="00EC4B13">
              <w:rPr>
                <w:rFonts w:ascii="Arial" w:hAnsi="Arial" w:cs="Arial"/>
              </w:rPr>
              <w:t>52,65</w:t>
            </w:r>
          </w:p>
        </w:tc>
        <w:tc>
          <w:tcPr>
            <w:tcW w:w="988" w:type="dxa"/>
          </w:tcPr>
          <w:p w:rsidR="00D71E9C" w:rsidRPr="00EC4B13" w:rsidRDefault="00D71E9C" w:rsidP="00A34A66">
            <w:pPr>
              <w:pStyle w:val="BodyText"/>
              <w:rPr>
                <w:rFonts w:ascii="Arial" w:hAnsi="Arial" w:cs="Arial"/>
              </w:rPr>
            </w:pPr>
            <w:r w:rsidRPr="00EC4B13">
              <w:rPr>
                <w:rFonts w:ascii="Arial" w:hAnsi="Arial" w:cs="Arial"/>
              </w:rPr>
              <w:t>119,34</w:t>
            </w:r>
          </w:p>
        </w:tc>
        <w:tc>
          <w:tcPr>
            <w:tcW w:w="997" w:type="dxa"/>
          </w:tcPr>
          <w:p w:rsidR="00D71E9C" w:rsidRPr="00EC4B13" w:rsidRDefault="00D71E9C" w:rsidP="00A34A66">
            <w:pPr>
              <w:pStyle w:val="BodyText"/>
              <w:rPr>
                <w:rFonts w:ascii="Arial" w:hAnsi="Arial" w:cs="Arial"/>
              </w:rPr>
            </w:pPr>
            <w:r w:rsidRPr="00EC4B13">
              <w:rPr>
                <w:rFonts w:ascii="Arial" w:hAnsi="Arial" w:cs="Arial"/>
              </w:rPr>
              <w:t>60,00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136,00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94,33</w:t>
            </w:r>
          </w:p>
        </w:tc>
        <w:tc>
          <w:tcPr>
            <w:tcW w:w="986" w:type="dxa"/>
          </w:tcPr>
          <w:p w:rsidR="00D71E9C" w:rsidRPr="00EC4B13" w:rsidRDefault="00D71E9C" w:rsidP="00EB6E1A">
            <w:pPr>
              <w:pStyle w:val="BodyText"/>
              <w:jc w:val="center"/>
              <w:rPr>
                <w:rFonts w:ascii="Arial" w:hAnsi="Arial" w:cs="Arial"/>
              </w:rPr>
            </w:pPr>
            <w:r w:rsidRPr="00EC4B13">
              <w:rPr>
                <w:rFonts w:ascii="Arial" w:hAnsi="Arial" w:cs="Arial"/>
              </w:rPr>
              <w:t>0,15</w:t>
            </w:r>
          </w:p>
        </w:tc>
        <w:tc>
          <w:tcPr>
            <w:tcW w:w="990" w:type="dxa"/>
          </w:tcPr>
          <w:p w:rsidR="00D71E9C" w:rsidRPr="00EC4B13" w:rsidRDefault="00D71E9C" w:rsidP="00A34A66">
            <w:pPr>
              <w:pStyle w:val="BodyText"/>
              <w:rPr>
                <w:rFonts w:ascii="Arial" w:hAnsi="Arial" w:cs="Arial"/>
              </w:rPr>
            </w:pPr>
            <w:r w:rsidRPr="00EC4B13">
              <w:rPr>
                <w:rFonts w:ascii="Arial" w:hAnsi="Arial" w:cs="Arial"/>
              </w:rPr>
              <w:t>0,34</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401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450</w:t>
            </w:r>
          </w:p>
        </w:tc>
        <w:tc>
          <w:tcPr>
            <w:tcW w:w="988" w:type="dxa"/>
          </w:tcPr>
          <w:p w:rsidR="00D71E9C" w:rsidRPr="00EC4B13" w:rsidRDefault="00D71E9C" w:rsidP="00A34A66">
            <w:pPr>
              <w:pStyle w:val="BodyText"/>
              <w:rPr>
                <w:rFonts w:ascii="Arial" w:hAnsi="Arial" w:cs="Arial"/>
              </w:rPr>
            </w:pPr>
            <w:r w:rsidRPr="00EC4B13">
              <w:rPr>
                <w:rFonts w:ascii="Arial" w:hAnsi="Arial" w:cs="Arial"/>
              </w:rPr>
              <w:t>52,13</w:t>
            </w:r>
          </w:p>
        </w:tc>
        <w:tc>
          <w:tcPr>
            <w:tcW w:w="988" w:type="dxa"/>
          </w:tcPr>
          <w:p w:rsidR="00D71E9C" w:rsidRPr="00EC4B13" w:rsidRDefault="00D71E9C" w:rsidP="00A34A66">
            <w:pPr>
              <w:pStyle w:val="BodyText"/>
              <w:rPr>
                <w:rFonts w:ascii="Arial" w:hAnsi="Arial" w:cs="Arial"/>
              </w:rPr>
            </w:pPr>
            <w:r w:rsidRPr="00EC4B13">
              <w:rPr>
                <w:rFonts w:ascii="Arial" w:hAnsi="Arial" w:cs="Arial"/>
              </w:rPr>
              <w:t>128,32</w:t>
            </w:r>
          </w:p>
        </w:tc>
        <w:tc>
          <w:tcPr>
            <w:tcW w:w="997" w:type="dxa"/>
          </w:tcPr>
          <w:p w:rsidR="00D71E9C" w:rsidRPr="00EC4B13" w:rsidRDefault="00D71E9C" w:rsidP="00A34A66">
            <w:pPr>
              <w:pStyle w:val="BodyText"/>
              <w:rPr>
                <w:rFonts w:ascii="Arial" w:hAnsi="Arial" w:cs="Arial"/>
              </w:rPr>
            </w:pPr>
            <w:r w:rsidRPr="00EC4B13">
              <w:rPr>
                <w:rFonts w:ascii="Arial" w:hAnsi="Arial" w:cs="Arial"/>
              </w:rPr>
              <w:t>58,50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144,00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98,07</w:t>
            </w:r>
          </w:p>
        </w:tc>
        <w:tc>
          <w:tcPr>
            <w:tcW w:w="986" w:type="dxa"/>
          </w:tcPr>
          <w:p w:rsidR="00D71E9C" w:rsidRPr="00EC4B13" w:rsidRDefault="00D71E9C" w:rsidP="00EB6E1A">
            <w:pPr>
              <w:pStyle w:val="BodyText"/>
              <w:jc w:val="center"/>
              <w:rPr>
                <w:rFonts w:ascii="Arial" w:hAnsi="Arial" w:cs="Arial"/>
              </w:rPr>
            </w:pPr>
            <w:r w:rsidRPr="00EC4B13">
              <w:rPr>
                <w:rFonts w:ascii="Arial" w:hAnsi="Arial" w:cs="Arial"/>
              </w:rPr>
              <w:t>0,13</w:t>
            </w:r>
          </w:p>
        </w:tc>
        <w:tc>
          <w:tcPr>
            <w:tcW w:w="990" w:type="dxa"/>
          </w:tcPr>
          <w:p w:rsidR="00D71E9C" w:rsidRPr="00EC4B13" w:rsidRDefault="00D71E9C" w:rsidP="00A34A66">
            <w:pPr>
              <w:pStyle w:val="BodyText"/>
              <w:rPr>
                <w:rFonts w:ascii="Arial" w:hAnsi="Arial" w:cs="Arial"/>
              </w:rPr>
            </w:pPr>
            <w:r w:rsidRPr="00EC4B13">
              <w:rPr>
                <w:rFonts w:ascii="Arial" w:hAnsi="Arial" w:cs="Arial"/>
              </w:rPr>
              <w:t>0,32</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451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500</w:t>
            </w:r>
          </w:p>
        </w:tc>
        <w:tc>
          <w:tcPr>
            <w:tcW w:w="988" w:type="dxa"/>
          </w:tcPr>
          <w:p w:rsidR="00D71E9C" w:rsidRPr="00EC4B13" w:rsidRDefault="00D71E9C" w:rsidP="00A34A66">
            <w:pPr>
              <w:pStyle w:val="BodyText"/>
              <w:rPr>
                <w:rFonts w:ascii="Arial" w:hAnsi="Arial" w:cs="Arial"/>
              </w:rPr>
            </w:pPr>
            <w:r w:rsidRPr="00EC4B13">
              <w:rPr>
                <w:rFonts w:ascii="Arial" w:hAnsi="Arial" w:cs="Arial"/>
              </w:rPr>
              <w:t>54,12</w:t>
            </w:r>
          </w:p>
        </w:tc>
        <w:tc>
          <w:tcPr>
            <w:tcW w:w="988" w:type="dxa"/>
          </w:tcPr>
          <w:p w:rsidR="00D71E9C" w:rsidRPr="00EC4B13" w:rsidRDefault="00D71E9C" w:rsidP="00A34A66">
            <w:pPr>
              <w:pStyle w:val="BodyText"/>
              <w:rPr>
                <w:rFonts w:ascii="Arial" w:hAnsi="Arial" w:cs="Arial"/>
              </w:rPr>
            </w:pPr>
            <w:r w:rsidRPr="00EC4B13">
              <w:rPr>
                <w:rFonts w:ascii="Arial" w:hAnsi="Arial" w:cs="Arial"/>
              </w:rPr>
              <w:t>135,30</w:t>
            </w:r>
          </w:p>
        </w:tc>
        <w:tc>
          <w:tcPr>
            <w:tcW w:w="997" w:type="dxa"/>
          </w:tcPr>
          <w:p w:rsidR="00D71E9C" w:rsidRPr="00EC4B13" w:rsidRDefault="00D71E9C" w:rsidP="00A34A66">
            <w:pPr>
              <w:pStyle w:val="BodyText"/>
              <w:rPr>
                <w:rFonts w:ascii="Arial" w:hAnsi="Arial" w:cs="Arial"/>
              </w:rPr>
            </w:pPr>
            <w:r w:rsidRPr="00EC4B13">
              <w:rPr>
                <w:rFonts w:ascii="Arial" w:hAnsi="Arial" w:cs="Arial"/>
              </w:rPr>
              <w:t>60,00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150,00</w:t>
            </w:r>
          </w:p>
        </w:tc>
        <w:tc>
          <w:tcPr>
            <w:tcW w:w="1425" w:type="dxa"/>
            <w:shd w:val="clear" w:color="auto" w:fill="B3B3B3"/>
          </w:tcPr>
          <w:p w:rsidR="00D71E9C" w:rsidRPr="00EC4B13" w:rsidRDefault="00D71E9C" w:rsidP="00A34A66">
            <w:pPr>
              <w:pStyle w:val="BodyText"/>
              <w:rPr>
                <w:rFonts w:ascii="Times New Roman" w:hAnsi="Times New Roman" w:cs="Arial"/>
                <w:b/>
                <w:bCs/>
              </w:rPr>
            </w:pPr>
            <w:r w:rsidRPr="00EC4B13">
              <w:rPr>
                <w:rFonts w:ascii="Times New Roman" w:hAnsi="Times New Roman" w:cs="Arial"/>
                <w:b/>
                <w:bCs/>
              </w:rPr>
              <w:t>102,56</w:t>
            </w:r>
          </w:p>
        </w:tc>
        <w:tc>
          <w:tcPr>
            <w:tcW w:w="986" w:type="dxa"/>
          </w:tcPr>
          <w:p w:rsidR="00D71E9C" w:rsidRPr="00EC4B13" w:rsidRDefault="00D71E9C" w:rsidP="00EB6E1A">
            <w:pPr>
              <w:pStyle w:val="BodyText"/>
              <w:jc w:val="center"/>
              <w:rPr>
                <w:rFonts w:ascii="Arial" w:hAnsi="Arial" w:cs="Arial"/>
              </w:rPr>
            </w:pPr>
            <w:r w:rsidRPr="00EC4B13">
              <w:rPr>
                <w:rFonts w:ascii="Arial" w:hAnsi="Arial" w:cs="Arial"/>
              </w:rPr>
              <w:t>0,12</w:t>
            </w:r>
          </w:p>
        </w:tc>
        <w:tc>
          <w:tcPr>
            <w:tcW w:w="990" w:type="dxa"/>
          </w:tcPr>
          <w:p w:rsidR="00D71E9C" w:rsidRPr="00EC4B13" w:rsidRDefault="00D71E9C" w:rsidP="00A34A66">
            <w:pPr>
              <w:pStyle w:val="BodyText"/>
              <w:rPr>
                <w:rFonts w:ascii="Arial" w:hAnsi="Arial" w:cs="Arial"/>
              </w:rPr>
            </w:pPr>
            <w:r w:rsidRPr="00EC4B13">
              <w:rPr>
                <w:rFonts w:ascii="Arial" w:hAnsi="Arial" w:cs="Arial"/>
              </w:rPr>
              <w:t>0,30</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501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550</w:t>
            </w:r>
          </w:p>
        </w:tc>
        <w:tc>
          <w:tcPr>
            <w:tcW w:w="988" w:type="dxa"/>
          </w:tcPr>
          <w:p w:rsidR="00D71E9C" w:rsidRPr="00EC4B13" w:rsidRDefault="00D71E9C" w:rsidP="00A34A66">
            <w:pPr>
              <w:pStyle w:val="BodyText"/>
              <w:rPr>
                <w:rFonts w:ascii="Arial" w:hAnsi="Arial" w:cs="Arial"/>
              </w:rPr>
            </w:pPr>
            <w:r w:rsidRPr="00EC4B13">
              <w:rPr>
                <w:rFonts w:ascii="Arial" w:hAnsi="Arial" w:cs="Arial"/>
              </w:rPr>
              <w:t>55,11</w:t>
            </w:r>
          </w:p>
        </w:tc>
        <w:tc>
          <w:tcPr>
            <w:tcW w:w="988" w:type="dxa"/>
          </w:tcPr>
          <w:p w:rsidR="00D71E9C" w:rsidRPr="00EC4B13" w:rsidRDefault="00D71E9C" w:rsidP="00A34A66">
            <w:pPr>
              <w:pStyle w:val="BodyText"/>
              <w:rPr>
                <w:rFonts w:ascii="Arial" w:hAnsi="Arial" w:cs="Arial"/>
              </w:rPr>
            </w:pPr>
            <w:r w:rsidRPr="00EC4B13">
              <w:rPr>
                <w:rFonts w:ascii="Arial" w:hAnsi="Arial" w:cs="Arial"/>
              </w:rPr>
              <w:t>140,28</w:t>
            </w:r>
          </w:p>
        </w:tc>
        <w:tc>
          <w:tcPr>
            <w:tcW w:w="997" w:type="dxa"/>
          </w:tcPr>
          <w:p w:rsidR="00D71E9C" w:rsidRPr="00EC4B13" w:rsidRDefault="00D71E9C" w:rsidP="00A34A66">
            <w:pPr>
              <w:pStyle w:val="BodyText"/>
              <w:rPr>
                <w:rFonts w:ascii="Arial" w:hAnsi="Arial" w:cs="Arial"/>
              </w:rPr>
            </w:pPr>
            <w:r w:rsidRPr="00EC4B13">
              <w:rPr>
                <w:rFonts w:ascii="Arial" w:hAnsi="Arial" w:cs="Arial"/>
              </w:rPr>
              <w:t>60,50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154,00</w:t>
            </w:r>
          </w:p>
        </w:tc>
        <w:tc>
          <w:tcPr>
            <w:tcW w:w="1425" w:type="dxa"/>
            <w:shd w:val="clear" w:color="auto" w:fill="B3B3B3"/>
          </w:tcPr>
          <w:p w:rsidR="00D71E9C" w:rsidRPr="00EC4B13" w:rsidRDefault="00D71E9C" w:rsidP="00A34A66">
            <w:pPr>
              <w:pStyle w:val="BodyText"/>
              <w:rPr>
                <w:rFonts w:ascii="Times New Roman" w:hAnsi="Times New Roman" w:cs="Arial"/>
                <w:b/>
                <w:bCs/>
              </w:rPr>
            </w:pPr>
            <w:r w:rsidRPr="00EC4B13">
              <w:rPr>
                <w:rFonts w:ascii="Times New Roman" w:hAnsi="Times New Roman" w:cs="Arial"/>
                <w:b/>
                <w:bCs/>
              </w:rPr>
              <w:t>104,56</w:t>
            </w:r>
          </w:p>
        </w:tc>
        <w:tc>
          <w:tcPr>
            <w:tcW w:w="986" w:type="dxa"/>
          </w:tcPr>
          <w:p w:rsidR="00D71E9C" w:rsidRPr="00EC4B13" w:rsidRDefault="00D71E9C" w:rsidP="00EB6E1A">
            <w:pPr>
              <w:pStyle w:val="BodyText"/>
              <w:jc w:val="center"/>
              <w:rPr>
                <w:rFonts w:ascii="Arial" w:hAnsi="Arial" w:cs="Arial"/>
              </w:rPr>
            </w:pPr>
            <w:r w:rsidRPr="00EC4B13">
              <w:rPr>
                <w:rFonts w:ascii="Arial" w:hAnsi="Arial" w:cs="Arial"/>
              </w:rPr>
              <w:t>0,11</w:t>
            </w:r>
          </w:p>
        </w:tc>
        <w:tc>
          <w:tcPr>
            <w:tcW w:w="990" w:type="dxa"/>
          </w:tcPr>
          <w:p w:rsidR="00D71E9C" w:rsidRPr="00EC4B13" w:rsidRDefault="00D71E9C" w:rsidP="00A34A66">
            <w:pPr>
              <w:pStyle w:val="BodyText"/>
              <w:rPr>
                <w:rFonts w:ascii="Arial" w:hAnsi="Arial" w:cs="Arial"/>
              </w:rPr>
            </w:pPr>
            <w:r w:rsidRPr="00EC4B13">
              <w:rPr>
                <w:rFonts w:ascii="Arial" w:hAnsi="Arial" w:cs="Arial"/>
              </w:rPr>
              <w:t>0,28</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551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600</w:t>
            </w:r>
          </w:p>
        </w:tc>
        <w:tc>
          <w:tcPr>
            <w:tcW w:w="988" w:type="dxa"/>
          </w:tcPr>
          <w:p w:rsidR="00D71E9C" w:rsidRPr="00EC4B13" w:rsidRDefault="00D71E9C" w:rsidP="00A34A66">
            <w:pPr>
              <w:pStyle w:val="BodyText"/>
              <w:rPr>
                <w:rFonts w:ascii="Arial" w:hAnsi="Arial" w:cs="Arial"/>
              </w:rPr>
            </w:pPr>
            <w:r w:rsidRPr="00EC4B13">
              <w:rPr>
                <w:rFonts w:ascii="Arial" w:hAnsi="Arial" w:cs="Arial"/>
              </w:rPr>
              <w:t>55,10</w:t>
            </w:r>
          </w:p>
        </w:tc>
        <w:tc>
          <w:tcPr>
            <w:tcW w:w="988" w:type="dxa"/>
          </w:tcPr>
          <w:p w:rsidR="00D71E9C" w:rsidRPr="00EC4B13" w:rsidRDefault="00D71E9C" w:rsidP="00A34A66">
            <w:pPr>
              <w:pStyle w:val="BodyText"/>
              <w:rPr>
                <w:rFonts w:ascii="Arial" w:hAnsi="Arial" w:cs="Arial"/>
              </w:rPr>
            </w:pPr>
            <w:r w:rsidRPr="00EC4B13">
              <w:rPr>
                <w:rFonts w:ascii="Arial" w:hAnsi="Arial" w:cs="Arial"/>
              </w:rPr>
              <w:t>148,77</w:t>
            </w:r>
          </w:p>
        </w:tc>
        <w:tc>
          <w:tcPr>
            <w:tcW w:w="997" w:type="dxa"/>
          </w:tcPr>
          <w:p w:rsidR="00D71E9C" w:rsidRPr="00EC4B13" w:rsidRDefault="00D71E9C" w:rsidP="00A34A66">
            <w:pPr>
              <w:pStyle w:val="BodyText"/>
              <w:rPr>
                <w:rFonts w:ascii="Arial" w:hAnsi="Arial" w:cs="Arial"/>
              </w:rPr>
            </w:pPr>
            <w:r w:rsidRPr="00EC4B13">
              <w:rPr>
                <w:rFonts w:ascii="Arial" w:hAnsi="Arial" w:cs="Arial"/>
              </w:rPr>
              <w:t>60,00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162,00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108,55</w:t>
            </w:r>
          </w:p>
        </w:tc>
        <w:tc>
          <w:tcPr>
            <w:tcW w:w="986" w:type="dxa"/>
          </w:tcPr>
          <w:p w:rsidR="00D71E9C" w:rsidRPr="00EC4B13" w:rsidRDefault="00D71E9C" w:rsidP="00EB6E1A">
            <w:pPr>
              <w:pStyle w:val="BodyText"/>
              <w:jc w:val="center"/>
              <w:rPr>
                <w:rFonts w:ascii="Arial" w:hAnsi="Arial" w:cs="Arial"/>
              </w:rPr>
            </w:pPr>
            <w:r w:rsidRPr="00EC4B13">
              <w:rPr>
                <w:rFonts w:ascii="Arial" w:hAnsi="Arial" w:cs="Arial"/>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0,27</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601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650</w:t>
            </w:r>
          </w:p>
        </w:tc>
        <w:tc>
          <w:tcPr>
            <w:tcW w:w="988" w:type="dxa"/>
          </w:tcPr>
          <w:p w:rsidR="00D71E9C" w:rsidRPr="00EC4B13" w:rsidRDefault="00D71E9C" w:rsidP="00A34A66">
            <w:pPr>
              <w:pStyle w:val="BodyText"/>
              <w:rPr>
                <w:rFonts w:ascii="Arial" w:hAnsi="Arial" w:cs="Arial"/>
              </w:rPr>
            </w:pPr>
            <w:r w:rsidRPr="00EC4B13">
              <w:rPr>
                <w:rFonts w:ascii="Arial" w:hAnsi="Arial" w:cs="Arial"/>
              </w:rPr>
              <w:t>60,10</w:t>
            </w:r>
          </w:p>
        </w:tc>
        <w:tc>
          <w:tcPr>
            <w:tcW w:w="988" w:type="dxa"/>
          </w:tcPr>
          <w:p w:rsidR="00D71E9C" w:rsidRPr="00EC4B13" w:rsidRDefault="00D71E9C" w:rsidP="00A34A66">
            <w:pPr>
              <w:pStyle w:val="BodyText"/>
              <w:rPr>
                <w:rFonts w:ascii="Arial" w:hAnsi="Arial" w:cs="Arial"/>
              </w:rPr>
            </w:pPr>
            <w:r w:rsidRPr="00EC4B13">
              <w:rPr>
                <w:rFonts w:ascii="Arial" w:hAnsi="Arial" w:cs="Arial"/>
              </w:rPr>
              <w:t>156,26</w:t>
            </w:r>
          </w:p>
        </w:tc>
        <w:tc>
          <w:tcPr>
            <w:tcW w:w="997" w:type="dxa"/>
          </w:tcPr>
          <w:p w:rsidR="00D71E9C" w:rsidRPr="00EC4B13" w:rsidRDefault="00D71E9C" w:rsidP="00A34A66">
            <w:pPr>
              <w:pStyle w:val="BodyText"/>
              <w:rPr>
                <w:rFonts w:ascii="Arial" w:hAnsi="Arial" w:cs="Arial"/>
              </w:rPr>
            </w:pPr>
            <w:r w:rsidRPr="00EC4B13">
              <w:rPr>
                <w:rFonts w:ascii="Arial" w:hAnsi="Arial" w:cs="Arial"/>
              </w:rPr>
              <w:t>65,00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169,00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114,55</w:t>
            </w:r>
          </w:p>
        </w:tc>
        <w:tc>
          <w:tcPr>
            <w:tcW w:w="986" w:type="dxa"/>
          </w:tcPr>
          <w:p w:rsidR="00D71E9C" w:rsidRPr="00EC4B13" w:rsidRDefault="00D71E9C" w:rsidP="00EB6E1A">
            <w:pPr>
              <w:numPr>
                <w:ilvl w:val="0"/>
                <w:numId w:val="0"/>
              </w:numPr>
              <w:ind w:left="709" w:hanging="284"/>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0,26</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651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700</w:t>
            </w:r>
          </w:p>
        </w:tc>
        <w:tc>
          <w:tcPr>
            <w:tcW w:w="988" w:type="dxa"/>
          </w:tcPr>
          <w:p w:rsidR="00D71E9C" w:rsidRPr="00EC4B13" w:rsidRDefault="00D71E9C" w:rsidP="00A34A66">
            <w:pPr>
              <w:pStyle w:val="BodyText"/>
              <w:rPr>
                <w:rFonts w:ascii="Arial" w:hAnsi="Arial" w:cs="Arial"/>
              </w:rPr>
            </w:pPr>
            <w:r w:rsidRPr="00EC4B13">
              <w:rPr>
                <w:rFonts w:ascii="Arial" w:hAnsi="Arial" w:cs="Arial"/>
              </w:rPr>
              <w:t>65,10</w:t>
            </w:r>
          </w:p>
        </w:tc>
        <w:tc>
          <w:tcPr>
            <w:tcW w:w="988" w:type="dxa"/>
          </w:tcPr>
          <w:p w:rsidR="00D71E9C" w:rsidRPr="00EC4B13" w:rsidRDefault="00D71E9C" w:rsidP="00A34A66">
            <w:pPr>
              <w:pStyle w:val="BodyText"/>
              <w:rPr>
                <w:rFonts w:ascii="Arial" w:hAnsi="Arial" w:cs="Arial"/>
              </w:rPr>
            </w:pPr>
            <w:r w:rsidRPr="00EC4B13">
              <w:rPr>
                <w:rFonts w:ascii="Arial" w:hAnsi="Arial" w:cs="Arial"/>
              </w:rPr>
              <w:t>169,26</w:t>
            </w:r>
          </w:p>
        </w:tc>
        <w:tc>
          <w:tcPr>
            <w:tcW w:w="997" w:type="dxa"/>
          </w:tcPr>
          <w:p w:rsidR="00D71E9C" w:rsidRPr="00EC4B13" w:rsidRDefault="00D71E9C" w:rsidP="00A34A66">
            <w:pPr>
              <w:pStyle w:val="BodyText"/>
              <w:rPr>
                <w:rFonts w:ascii="Arial" w:hAnsi="Arial" w:cs="Arial"/>
              </w:rPr>
            </w:pPr>
            <w:r w:rsidRPr="00EC4B13">
              <w:rPr>
                <w:rFonts w:ascii="Arial" w:hAnsi="Arial" w:cs="Arial"/>
              </w:rPr>
              <w:t>70,00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182,00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123,55</w:t>
            </w:r>
          </w:p>
        </w:tc>
        <w:tc>
          <w:tcPr>
            <w:tcW w:w="986" w:type="dxa"/>
          </w:tcPr>
          <w:p w:rsidR="00D71E9C" w:rsidRPr="00EC4B13" w:rsidRDefault="00D71E9C" w:rsidP="00EB6E1A">
            <w:pPr>
              <w:numPr>
                <w:ilvl w:val="0"/>
                <w:numId w:val="0"/>
              </w:numPr>
              <w:ind w:left="709" w:hanging="284"/>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0,26</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701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750</w:t>
            </w:r>
          </w:p>
        </w:tc>
        <w:tc>
          <w:tcPr>
            <w:tcW w:w="988" w:type="dxa"/>
          </w:tcPr>
          <w:p w:rsidR="00D71E9C" w:rsidRPr="00EC4B13" w:rsidRDefault="00D71E9C" w:rsidP="00A34A66">
            <w:pPr>
              <w:pStyle w:val="BodyText"/>
              <w:rPr>
                <w:rFonts w:ascii="Arial" w:hAnsi="Arial" w:cs="Arial"/>
              </w:rPr>
            </w:pPr>
            <w:r w:rsidRPr="00EC4B13">
              <w:rPr>
                <w:rFonts w:ascii="Arial" w:hAnsi="Arial" w:cs="Arial"/>
              </w:rPr>
              <w:t>70,10</w:t>
            </w:r>
          </w:p>
        </w:tc>
        <w:tc>
          <w:tcPr>
            <w:tcW w:w="988" w:type="dxa"/>
          </w:tcPr>
          <w:p w:rsidR="00D71E9C" w:rsidRPr="00EC4B13" w:rsidRDefault="00D71E9C" w:rsidP="00A34A66">
            <w:pPr>
              <w:pStyle w:val="BodyText"/>
              <w:rPr>
                <w:rFonts w:ascii="Arial" w:hAnsi="Arial" w:cs="Arial"/>
              </w:rPr>
            </w:pPr>
            <w:r w:rsidRPr="00EC4B13">
              <w:rPr>
                <w:rFonts w:ascii="Arial" w:hAnsi="Arial" w:cs="Arial"/>
              </w:rPr>
              <w:t>175,25</w:t>
            </w:r>
          </w:p>
        </w:tc>
        <w:tc>
          <w:tcPr>
            <w:tcW w:w="997" w:type="dxa"/>
          </w:tcPr>
          <w:p w:rsidR="00D71E9C" w:rsidRPr="00EC4B13" w:rsidRDefault="00D71E9C" w:rsidP="00A34A66">
            <w:pPr>
              <w:pStyle w:val="BodyText"/>
              <w:rPr>
                <w:rFonts w:ascii="Arial" w:hAnsi="Arial" w:cs="Arial"/>
              </w:rPr>
            </w:pPr>
            <w:r w:rsidRPr="00EC4B13">
              <w:rPr>
                <w:rFonts w:ascii="Arial" w:hAnsi="Arial" w:cs="Arial"/>
              </w:rPr>
              <w:t>75,00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187,50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128,80</w:t>
            </w:r>
          </w:p>
        </w:tc>
        <w:tc>
          <w:tcPr>
            <w:tcW w:w="986" w:type="dxa"/>
          </w:tcPr>
          <w:p w:rsidR="00D71E9C" w:rsidRPr="00EC4B13" w:rsidRDefault="00D71E9C" w:rsidP="00EB6E1A">
            <w:pPr>
              <w:numPr>
                <w:ilvl w:val="0"/>
                <w:numId w:val="0"/>
              </w:numPr>
              <w:ind w:left="709" w:hanging="284"/>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0,25</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751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800</w:t>
            </w:r>
          </w:p>
        </w:tc>
        <w:tc>
          <w:tcPr>
            <w:tcW w:w="988" w:type="dxa"/>
          </w:tcPr>
          <w:p w:rsidR="00D71E9C" w:rsidRPr="00EC4B13" w:rsidRDefault="00D71E9C" w:rsidP="00A34A66">
            <w:pPr>
              <w:pStyle w:val="BodyText"/>
              <w:rPr>
                <w:rFonts w:ascii="Arial" w:hAnsi="Arial" w:cs="Arial"/>
              </w:rPr>
            </w:pPr>
            <w:r w:rsidRPr="00EC4B13">
              <w:rPr>
                <w:rFonts w:ascii="Arial" w:hAnsi="Arial" w:cs="Arial"/>
              </w:rPr>
              <w:t>75,10</w:t>
            </w:r>
          </w:p>
        </w:tc>
        <w:tc>
          <w:tcPr>
            <w:tcW w:w="988" w:type="dxa"/>
          </w:tcPr>
          <w:p w:rsidR="00D71E9C" w:rsidRPr="00EC4B13" w:rsidRDefault="00D71E9C" w:rsidP="00A34A66">
            <w:pPr>
              <w:pStyle w:val="BodyText"/>
              <w:rPr>
                <w:rFonts w:ascii="Arial" w:hAnsi="Arial" w:cs="Arial"/>
              </w:rPr>
            </w:pPr>
            <w:r w:rsidRPr="00EC4B13">
              <w:rPr>
                <w:rFonts w:ascii="Arial" w:hAnsi="Arial" w:cs="Arial"/>
              </w:rPr>
              <w:t>180,24</w:t>
            </w:r>
          </w:p>
        </w:tc>
        <w:tc>
          <w:tcPr>
            <w:tcW w:w="997" w:type="dxa"/>
          </w:tcPr>
          <w:p w:rsidR="00D71E9C" w:rsidRPr="00EC4B13" w:rsidRDefault="00D71E9C" w:rsidP="00A34A66">
            <w:pPr>
              <w:pStyle w:val="BodyText"/>
              <w:rPr>
                <w:rFonts w:ascii="Arial" w:hAnsi="Arial" w:cs="Arial"/>
              </w:rPr>
            </w:pPr>
            <w:r w:rsidRPr="00EC4B13">
              <w:rPr>
                <w:rFonts w:ascii="Arial" w:hAnsi="Arial" w:cs="Arial"/>
              </w:rPr>
              <w:t>80,00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192,00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133,55</w:t>
            </w:r>
          </w:p>
        </w:tc>
        <w:tc>
          <w:tcPr>
            <w:tcW w:w="986" w:type="dxa"/>
          </w:tcPr>
          <w:p w:rsidR="00D71E9C" w:rsidRPr="00EC4B13" w:rsidRDefault="00D71E9C" w:rsidP="00EB6E1A">
            <w:pPr>
              <w:numPr>
                <w:ilvl w:val="0"/>
                <w:numId w:val="0"/>
              </w:numPr>
              <w:ind w:left="709" w:hanging="284"/>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0,24</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801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850</w:t>
            </w:r>
          </w:p>
        </w:tc>
        <w:tc>
          <w:tcPr>
            <w:tcW w:w="988" w:type="dxa"/>
          </w:tcPr>
          <w:p w:rsidR="00D71E9C" w:rsidRPr="00EC4B13" w:rsidRDefault="00D71E9C" w:rsidP="00A34A66">
            <w:pPr>
              <w:pStyle w:val="BodyText"/>
              <w:rPr>
                <w:rFonts w:ascii="Arial" w:hAnsi="Arial" w:cs="Arial"/>
              </w:rPr>
            </w:pPr>
            <w:r w:rsidRPr="00EC4B13">
              <w:rPr>
                <w:rFonts w:ascii="Arial" w:hAnsi="Arial" w:cs="Arial"/>
              </w:rPr>
              <w:t>80,10</w:t>
            </w:r>
          </w:p>
        </w:tc>
        <w:tc>
          <w:tcPr>
            <w:tcW w:w="988" w:type="dxa"/>
          </w:tcPr>
          <w:p w:rsidR="00D71E9C" w:rsidRPr="00EC4B13" w:rsidRDefault="00D71E9C" w:rsidP="00A34A66">
            <w:pPr>
              <w:pStyle w:val="BodyText"/>
              <w:rPr>
                <w:rFonts w:ascii="Arial" w:hAnsi="Arial" w:cs="Arial"/>
              </w:rPr>
            </w:pPr>
            <w:r w:rsidRPr="00EC4B13">
              <w:rPr>
                <w:rFonts w:ascii="Arial" w:hAnsi="Arial" w:cs="Arial"/>
              </w:rPr>
              <w:t>184,23</w:t>
            </w:r>
          </w:p>
        </w:tc>
        <w:tc>
          <w:tcPr>
            <w:tcW w:w="997" w:type="dxa"/>
          </w:tcPr>
          <w:p w:rsidR="00D71E9C" w:rsidRPr="00EC4B13" w:rsidRDefault="00D71E9C" w:rsidP="00A34A66">
            <w:pPr>
              <w:pStyle w:val="BodyText"/>
              <w:rPr>
                <w:rFonts w:ascii="Arial" w:hAnsi="Arial" w:cs="Arial"/>
              </w:rPr>
            </w:pPr>
            <w:r w:rsidRPr="00EC4B13">
              <w:rPr>
                <w:rFonts w:ascii="Arial" w:hAnsi="Arial" w:cs="Arial"/>
              </w:rPr>
              <w:t>85,00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195,50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137,80</w:t>
            </w:r>
          </w:p>
        </w:tc>
        <w:tc>
          <w:tcPr>
            <w:tcW w:w="986" w:type="dxa"/>
          </w:tcPr>
          <w:p w:rsidR="00D71E9C" w:rsidRPr="00EC4B13" w:rsidRDefault="00D71E9C" w:rsidP="00EB6E1A">
            <w:pPr>
              <w:numPr>
                <w:ilvl w:val="0"/>
                <w:numId w:val="0"/>
              </w:numPr>
              <w:ind w:left="709" w:hanging="284"/>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0,23</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851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900</w:t>
            </w:r>
          </w:p>
        </w:tc>
        <w:tc>
          <w:tcPr>
            <w:tcW w:w="988" w:type="dxa"/>
          </w:tcPr>
          <w:p w:rsidR="00D71E9C" w:rsidRPr="00EC4B13" w:rsidRDefault="00D71E9C" w:rsidP="00A34A66">
            <w:pPr>
              <w:pStyle w:val="BodyText"/>
              <w:rPr>
                <w:rFonts w:ascii="Arial" w:hAnsi="Arial" w:cs="Arial"/>
              </w:rPr>
            </w:pPr>
            <w:r w:rsidRPr="00EC4B13">
              <w:rPr>
                <w:rFonts w:ascii="Arial" w:hAnsi="Arial" w:cs="Arial"/>
              </w:rPr>
              <w:t>85,10</w:t>
            </w:r>
          </w:p>
        </w:tc>
        <w:tc>
          <w:tcPr>
            <w:tcW w:w="988" w:type="dxa"/>
          </w:tcPr>
          <w:p w:rsidR="00D71E9C" w:rsidRPr="00EC4B13" w:rsidRDefault="00D71E9C" w:rsidP="00A34A66">
            <w:pPr>
              <w:pStyle w:val="BodyText"/>
              <w:rPr>
                <w:rFonts w:ascii="Arial" w:hAnsi="Arial" w:cs="Arial"/>
              </w:rPr>
            </w:pPr>
            <w:r w:rsidRPr="00EC4B13">
              <w:rPr>
                <w:rFonts w:ascii="Arial" w:hAnsi="Arial" w:cs="Arial"/>
              </w:rPr>
              <w:t>187,22</w:t>
            </w:r>
          </w:p>
        </w:tc>
        <w:tc>
          <w:tcPr>
            <w:tcW w:w="997" w:type="dxa"/>
          </w:tcPr>
          <w:p w:rsidR="00D71E9C" w:rsidRPr="00EC4B13" w:rsidRDefault="00D71E9C" w:rsidP="00A34A66">
            <w:pPr>
              <w:pStyle w:val="BodyText"/>
              <w:rPr>
                <w:rFonts w:ascii="Arial" w:hAnsi="Arial" w:cs="Arial"/>
              </w:rPr>
            </w:pPr>
            <w:r w:rsidRPr="00EC4B13">
              <w:rPr>
                <w:rFonts w:ascii="Arial" w:hAnsi="Arial" w:cs="Arial"/>
              </w:rPr>
              <w:t>90,00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198,00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141,55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0,22</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901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950</w:t>
            </w:r>
          </w:p>
        </w:tc>
        <w:tc>
          <w:tcPr>
            <w:tcW w:w="988" w:type="dxa"/>
          </w:tcPr>
          <w:p w:rsidR="00D71E9C" w:rsidRPr="00EC4B13" w:rsidRDefault="00D71E9C" w:rsidP="00A34A66">
            <w:pPr>
              <w:pStyle w:val="BodyText"/>
              <w:rPr>
                <w:rFonts w:ascii="Arial" w:hAnsi="Arial" w:cs="Arial"/>
              </w:rPr>
            </w:pPr>
            <w:r w:rsidRPr="00EC4B13">
              <w:rPr>
                <w:rFonts w:ascii="Arial" w:hAnsi="Arial" w:cs="Arial"/>
              </w:rPr>
              <w:t>90,10</w:t>
            </w:r>
          </w:p>
        </w:tc>
        <w:tc>
          <w:tcPr>
            <w:tcW w:w="988" w:type="dxa"/>
          </w:tcPr>
          <w:p w:rsidR="00D71E9C" w:rsidRPr="00EC4B13" w:rsidRDefault="00D71E9C" w:rsidP="00A34A66">
            <w:pPr>
              <w:pStyle w:val="BodyText"/>
              <w:rPr>
                <w:rFonts w:ascii="Arial" w:hAnsi="Arial" w:cs="Arial"/>
              </w:rPr>
            </w:pPr>
            <w:r w:rsidRPr="00EC4B13">
              <w:rPr>
                <w:rFonts w:ascii="Arial" w:hAnsi="Arial" w:cs="Arial"/>
              </w:rPr>
              <w:t>189,21</w:t>
            </w:r>
          </w:p>
        </w:tc>
        <w:tc>
          <w:tcPr>
            <w:tcW w:w="997" w:type="dxa"/>
          </w:tcPr>
          <w:p w:rsidR="00D71E9C" w:rsidRPr="00EC4B13" w:rsidRDefault="00D71E9C" w:rsidP="00A34A66">
            <w:pPr>
              <w:pStyle w:val="BodyText"/>
              <w:rPr>
                <w:rFonts w:ascii="Arial" w:hAnsi="Arial" w:cs="Arial"/>
              </w:rPr>
            </w:pPr>
            <w:r w:rsidRPr="00EC4B13">
              <w:rPr>
                <w:rFonts w:ascii="Arial" w:hAnsi="Arial" w:cs="Arial"/>
              </w:rPr>
              <w:t>95,00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199,50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144,80</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0,21</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951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1000</w:t>
            </w:r>
          </w:p>
        </w:tc>
        <w:tc>
          <w:tcPr>
            <w:tcW w:w="988" w:type="dxa"/>
          </w:tcPr>
          <w:p w:rsidR="00D71E9C" w:rsidRPr="00EC4B13" w:rsidRDefault="00D71E9C" w:rsidP="00A34A66">
            <w:pPr>
              <w:pStyle w:val="BodyText"/>
              <w:rPr>
                <w:rFonts w:ascii="Arial" w:hAnsi="Arial" w:cs="Arial"/>
              </w:rPr>
            </w:pPr>
            <w:r w:rsidRPr="00EC4B13">
              <w:rPr>
                <w:rFonts w:ascii="Arial" w:hAnsi="Arial" w:cs="Arial"/>
              </w:rPr>
              <w:t>95,10</w:t>
            </w:r>
          </w:p>
        </w:tc>
        <w:tc>
          <w:tcPr>
            <w:tcW w:w="988" w:type="dxa"/>
          </w:tcPr>
          <w:p w:rsidR="00D71E9C" w:rsidRPr="00EC4B13" w:rsidRDefault="00D71E9C" w:rsidP="00A34A66">
            <w:pPr>
              <w:pStyle w:val="BodyText"/>
              <w:rPr>
                <w:rFonts w:ascii="Arial" w:hAnsi="Arial" w:cs="Arial"/>
              </w:rPr>
            </w:pPr>
            <w:r w:rsidRPr="00EC4B13">
              <w:rPr>
                <w:rFonts w:ascii="Arial" w:hAnsi="Arial" w:cs="Arial"/>
              </w:rPr>
              <w:t>190,2</w:t>
            </w:r>
          </w:p>
        </w:tc>
        <w:tc>
          <w:tcPr>
            <w:tcW w:w="997" w:type="dxa"/>
          </w:tcPr>
          <w:p w:rsidR="00D71E9C" w:rsidRPr="00EC4B13" w:rsidRDefault="00D71E9C" w:rsidP="00A34A66">
            <w:pPr>
              <w:pStyle w:val="BodyText"/>
              <w:rPr>
                <w:rFonts w:ascii="Arial" w:hAnsi="Arial" w:cs="Arial"/>
              </w:rPr>
            </w:pPr>
            <w:r w:rsidRPr="00EC4B13">
              <w:rPr>
                <w:rFonts w:ascii="Arial" w:hAnsi="Arial" w:cs="Arial"/>
              </w:rPr>
              <w:t>100,00</w:t>
            </w:r>
          </w:p>
        </w:tc>
        <w:tc>
          <w:tcPr>
            <w:tcW w:w="978" w:type="dxa"/>
            <w:shd w:val="clear" w:color="auto" w:fill="B3B3B3"/>
          </w:tcPr>
          <w:p w:rsidR="00D71E9C" w:rsidRPr="00EC4B13" w:rsidRDefault="00D71E9C" w:rsidP="00A34A66">
            <w:pPr>
              <w:pStyle w:val="BodyText"/>
              <w:rPr>
                <w:rFonts w:ascii="Arial" w:hAnsi="Arial" w:cs="Arial"/>
                <w:b/>
                <w:bCs/>
                <w:strike/>
              </w:rPr>
            </w:pPr>
            <w:r w:rsidRPr="00EC4B13">
              <w:rPr>
                <w:rFonts w:ascii="Arial" w:hAnsi="Arial" w:cs="Arial"/>
                <w:b/>
                <w:bCs/>
              </w:rPr>
              <w:t>200,00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147,55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0,20</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1001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1050</w:t>
            </w:r>
          </w:p>
        </w:tc>
        <w:tc>
          <w:tcPr>
            <w:tcW w:w="988" w:type="dxa"/>
          </w:tcPr>
          <w:p w:rsidR="00D71E9C" w:rsidRPr="00EC4B13" w:rsidRDefault="00D71E9C" w:rsidP="00A34A66">
            <w:pPr>
              <w:pStyle w:val="BodyText"/>
              <w:rPr>
                <w:rFonts w:ascii="Arial" w:hAnsi="Arial" w:cs="Arial"/>
              </w:rPr>
            </w:pPr>
            <w:r w:rsidRPr="00EC4B13">
              <w:rPr>
                <w:rFonts w:ascii="Arial" w:hAnsi="Arial" w:cs="Arial"/>
              </w:rPr>
              <w:t>100,10</w:t>
            </w:r>
          </w:p>
        </w:tc>
        <w:tc>
          <w:tcPr>
            <w:tcW w:w="988" w:type="dxa"/>
          </w:tcPr>
          <w:p w:rsidR="00D71E9C" w:rsidRPr="00EC4B13" w:rsidRDefault="00D71E9C" w:rsidP="00A34A66">
            <w:pPr>
              <w:pStyle w:val="BodyText"/>
              <w:rPr>
                <w:rFonts w:ascii="Arial" w:hAnsi="Arial" w:cs="Arial"/>
              </w:rPr>
            </w:pPr>
            <w:r w:rsidRPr="00EC4B13">
              <w:rPr>
                <w:rFonts w:ascii="Arial" w:hAnsi="Arial" w:cs="Arial"/>
              </w:rPr>
              <w:t>190,19</w:t>
            </w:r>
          </w:p>
        </w:tc>
        <w:tc>
          <w:tcPr>
            <w:tcW w:w="997" w:type="dxa"/>
          </w:tcPr>
          <w:p w:rsidR="00D71E9C" w:rsidRPr="00EC4B13" w:rsidRDefault="00D71E9C" w:rsidP="00A34A66">
            <w:pPr>
              <w:pStyle w:val="BodyText"/>
              <w:rPr>
                <w:rFonts w:ascii="Arial" w:hAnsi="Arial" w:cs="Arial"/>
              </w:rPr>
            </w:pPr>
            <w:r w:rsidRPr="00EC4B13">
              <w:rPr>
                <w:rFonts w:ascii="Arial" w:hAnsi="Arial" w:cs="Arial"/>
              </w:rPr>
              <w:t>105,00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199,50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149,80</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0,19</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1051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1100</w:t>
            </w:r>
          </w:p>
        </w:tc>
        <w:tc>
          <w:tcPr>
            <w:tcW w:w="988" w:type="dxa"/>
          </w:tcPr>
          <w:p w:rsidR="00D71E9C" w:rsidRPr="00EC4B13" w:rsidRDefault="00D71E9C" w:rsidP="00A34A66">
            <w:pPr>
              <w:pStyle w:val="BodyText"/>
              <w:rPr>
                <w:rFonts w:ascii="Arial" w:hAnsi="Arial" w:cs="Arial"/>
              </w:rPr>
            </w:pPr>
            <w:r w:rsidRPr="00EC4B13">
              <w:rPr>
                <w:rFonts w:ascii="Arial" w:hAnsi="Arial" w:cs="Arial"/>
              </w:rPr>
              <w:t>105,10</w:t>
            </w:r>
          </w:p>
        </w:tc>
        <w:tc>
          <w:tcPr>
            <w:tcW w:w="988" w:type="dxa"/>
          </w:tcPr>
          <w:p w:rsidR="00D71E9C" w:rsidRPr="00EC4B13" w:rsidRDefault="00D71E9C" w:rsidP="00A34A66">
            <w:pPr>
              <w:pStyle w:val="BodyText"/>
              <w:rPr>
                <w:rFonts w:ascii="Arial" w:hAnsi="Arial" w:cs="Arial"/>
              </w:rPr>
            </w:pPr>
            <w:r w:rsidRPr="00EC4B13">
              <w:rPr>
                <w:rFonts w:ascii="Arial" w:hAnsi="Arial" w:cs="Arial"/>
              </w:rPr>
              <w:t>199,69</w:t>
            </w:r>
          </w:p>
        </w:tc>
        <w:tc>
          <w:tcPr>
            <w:tcW w:w="997" w:type="dxa"/>
          </w:tcPr>
          <w:p w:rsidR="00D71E9C" w:rsidRPr="00EC4B13" w:rsidRDefault="00D71E9C" w:rsidP="00A34A66">
            <w:pPr>
              <w:pStyle w:val="BodyText"/>
              <w:rPr>
                <w:rFonts w:ascii="Arial" w:hAnsi="Arial" w:cs="Arial"/>
              </w:rPr>
            </w:pPr>
            <w:r w:rsidRPr="00EC4B13">
              <w:rPr>
                <w:rFonts w:ascii="Arial" w:hAnsi="Arial" w:cs="Arial"/>
              </w:rPr>
              <w:t>110,00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209,00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157,05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0,19</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1101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1150</w:t>
            </w:r>
          </w:p>
        </w:tc>
        <w:tc>
          <w:tcPr>
            <w:tcW w:w="988" w:type="dxa"/>
          </w:tcPr>
          <w:p w:rsidR="00D71E9C" w:rsidRPr="00EC4B13" w:rsidRDefault="00D71E9C" w:rsidP="00A34A66">
            <w:pPr>
              <w:pStyle w:val="BodyText"/>
              <w:rPr>
                <w:rFonts w:ascii="Arial" w:hAnsi="Arial" w:cs="Arial"/>
              </w:rPr>
            </w:pPr>
            <w:r w:rsidRPr="00EC4B13">
              <w:rPr>
                <w:rFonts w:ascii="Arial" w:hAnsi="Arial" w:cs="Arial"/>
              </w:rPr>
              <w:t>110,10</w:t>
            </w:r>
          </w:p>
        </w:tc>
        <w:tc>
          <w:tcPr>
            <w:tcW w:w="988" w:type="dxa"/>
          </w:tcPr>
          <w:p w:rsidR="00D71E9C" w:rsidRPr="00EC4B13" w:rsidRDefault="00D71E9C" w:rsidP="00A34A66">
            <w:pPr>
              <w:pStyle w:val="BodyText"/>
              <w:rPr>
                <w:rFonts w:ascii="Arial" w:hAnsi="Arial" w:cs="Arial"/>
              </w:rPr>
            </w:pPr>
            <w:r w:rsidRPr="00EC4B13">
              <w:rPr>
                <w:rFonts w:ascii="Arial" w:hAnsi="Arial" w:cs="Arial"/>
              </w:rPr>
              <w:t>209,19</w:t>
            </w:r>
          </w:p>
        </w:tc>
        <w:tc>
          <w:tcPr>
            <w:tcW w:w="997" w:type="dxa"/>
          </w:tcPr>
          <w:p w:rsidR="00D71E9C" w:rsidRPr="00EC4B13" w:rsidRDefault="00D71E9C" w:rsidP="00A34A66">
            <w:pPr>
              <w:pStyle w:val="BodyText"/>
              <w:rPr>
                <w:rFonts w:ascii="Arial" w:hAnsi="Arial" w:cs="Arial"/>
              </w:rPr>
            </w:pPr>
            <w:r w:rsidRPr="00EC4B13">
              <w:rPr>
                <w:rFonts w:ascii="Arial" w:hAnsi="Arial" w:cs="Arial"/>
              </w:rPr>
              <w:t>115,00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218,50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164,30</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0,19</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1151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1200</w:t>
            </w:r>
          </w:p>
        </w:tc>
        <w:tc>
          <w:tcPr>
            <w:tcW w:w="988" w:type="dxa"/>
          </w:tcPr>
          <w:p w:rsidR="00D71E9C" w:rsidRPr="00EC4B13" w:rsidRDefault="00D71E9C" w:rsidP="00A34A66">
            <w:pPr>
              <w:pStyle w:val="BodyText"/>
              <w:rPr>
                <w:rFonts w:ascii="Arial" w:hAnsi="Arial" w:cs="Arial"/>
              </w:rPr>
            </w:pPr>
            <w:r w:rsidRPr="00EC4B13">
              <w:rPr>
                <w:rFonts w:ascii="Arial" w:hAnsi="Arial" w:cs="Arial"/>
              </w:rPr>
              <w:t>115,10</w:t>
            </w:r>
          </w:p>
        </w:tc>
        <w:tc>
          <w:tcPr>
            <w:tcW w:w="988" w:type="dxa"/>
          </w:tcPr>
          <w:p w:rsidR="00D71E9C" w:rsidRPr="00EC4B13" w:rsidRDefault="00D71E9C" w:rsidP="00A34A66">
            <w:pPr>
              <w:pStyle w:val="BodyText"/>
              <w:rPr>
                <w:rFonts w:ascii="Arial" w:hAnsi="Arial" w:cs="Arial"/>
              </w:rPr>
            </w:pPr>
            <w:r w:rsidRPr="00EC4B13">
              <w:rPr>
                <w:rFonts w:ascii="Arial" w:hAnsi="Arial" w:cs="Arial"/>
              </w:rPr>
              <w:t>207,18</w:t>
            </w:r>
          </w:p>
        </w:tc>
        <w:tc>
          <w:tcPr>
            <w:tcW w:w="997" w:type="dxa"/>
          </w:tcPr>
          <w:p w:rsidR="00D71E9C" w:rsidRPr="00EC4B13" w:rsidRDefault="00D71E9C" w:rsidP="00A34A66">
            <w:pPr>
              <w:pStyle w:val="BodyText"/>
              <w:rPr>
                <w:rFonts w:ascii="Arial" w:hAnsi="Arial" w:cs="Arial"/>
              </w:rPr>
            </w:pPr>
            <w:r w:rsidRPr="00EC4B13">
              <w:rPr>
                <w:rFonts w:ascii="Arial" w:hAnsi="Arial" w:cs="Arial"/>
              </w:rPr>
              <w:t>120,00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216,00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165,55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0,18</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1250</w:t>
            </w:r>
          </w:p>
        </w:tc>
        <w:tc>
          <w:tcPr>
            <w:tcW w:w="988" w:type="dxa"/>
          </w:tcPr>
          <w:p w:rsidR="00D71E9C" w:rsidRPr="00EC4B13" w:rsidRDefault="00D71E9C" w:rsidP="00A34A66">
            <w:pPr>
              <w:pStyle w:val="BodyText"/>
              <w:rPr>
                <w:rFonts w:ascii="Arial" w:hAnsi="Arial" w:cs="Arial"/>
              </w:rPr>
            </w:pPr>
            <w:r w:rsidRPr="00EC4B13">
              <w:rPr>
                <w:rFonts w:ascii="Arial" w:hAnsi="Arial" w:cs="Arial"/>
              </w:rPr>
              <w:t>120,10</w:t>
            </w:r>
          </w:p>
        </w:tc>
        <w:tc>
          <w:tcPr>
            <w:tcW w:w="988" w:type="dxa"/>
          </w:tcPr>
          <w:p w:rsidR="00D71E9C" w:rsidRPr="00EC4B13" w:rsidRDefault="00D71E9C" w:rsidP="00A34A66">
            <w:pPr>
              <w:pStyle w:val="BodyText"/>
              <w:rPr>
                <w:rFonts w:ascii="Arial" w:hAnsi="Arial" w:cs="Arial"/>
              </w:rPr>
            </w:pPr>
            <w:r w:rsidRPr="00EC4B13">
              <w:rPr>
                <w:rFonts w:ascii="Arial" w:hAnsi="Arial" w:cs="Arial"/>
              </w:rPr>
              <w:t>216,18</w:t>
            </w:r>
          </w:p>
        </w:tc>
        <w:tc>
          <w:tcPr>
            <w:tcW w:w="997" w:type="dxa"/>
          </w:tcPr>
          <w:p w:rsidR="00D71E9C" w:rsidRPr="00EC4B13" w:rsidRDefault="00D71E9C" w:rsidP="00A34A66">
            <w:pPr>
              <w:pStyle w:val="BodyText"/>
              <w:rPr>
                <w:rFonts w:ascii="Arial" w:hAnsi="Arial" w:cs="Arial"/>
              </w:rPr>
            </w:pPr>
            <w:r w:rsidRPr="00EC4B13">
              <w:rPr>
                <w:rFonts w:ascii="Arial" w:hAnsi="Arial" w:cs="Arial"/>
              </w:rPr>
              <w:t>125,00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225,00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172,55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0,18</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1251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1300</w:t>
            </w:r>
          </w:p>
        </w:tc>
        <w:tc>
          <w:tcPr>
            <w:tcW w:w="988" w:type="dxa"/>
          </w:tcPr>
          <w:p w:rsidR="00D71E9C" w:rsidRPr="00EC4B13" w:rsidRDefault="00D71E9C" w:rsidP="00A34A66">
            <w:pPr>
              <w:pStyle w:val="BodyText"/>
              <w:rPr>
                <w:rFonts w:ascii="Arial" w:hAnsi="Arial" w:cs="Arial"/>
              </w:rPr>
            </w:pPr>
            <w:r w:rsidRPr="00EC4B13">
              <w:rPr>
                <w:rFonts w:ascii="Arial" w:hAnsi="Arial" w:cs="Arial"/>
              </w:rPr>
              <w:t>125,10</w:t>
            </w:r>
          </w:p>
        </w:tc>
        <w:tc>
          <w:tcPr>
            <w:tcW w:w="988" w:type="dxa"/>
          </w:tcPr>
          <w:p w:rsidR="00D71E9C" w:rsidRPr="00EC4B13" w:rsidRDefault="00D71E9C" w:rsidP="00A34A66">
            <w:pPr>
              <w:pStyle w:val="BodyText"/>
              <w:rPr>
                <w:rFonts w:ascii="Arial" w:hAnsi="Arial" w:cs="Arial"/>
              </w:rPr>
            </w:pPr>
            <w:r w:rsidRPr="00EC4B13">
              <w:rPr>
                <w:rFonts w:ascii="Arial" w:hAnsi="Arial" w:cs="Arial"/>
              </w:rPr>
              <w:t>212,67</w:t>
            </w:r>
          </w:p>
        </w:tc>
        <w:tc>
          <w:tcPr>
            <w:tcW w:w="997" w:type="dxa"/>
          </w:tcPr>
          <w:p w:rsidR="00D71E9C" w:rsidRPr="00EC4B13" w:rsidRDefault="00D71E9C" w:rsidP="00A34A66">
            <w:pPr>
              <w:pStyle w:val="BodyText"/>
              <w:rPr>
                <w:rFonts w:ascii="Arial" w:hAnsi="Arial" w:cs="Arial"/>
              </w:rPr>
            </w:pPr>
            <w:r w:rsidRPr="00EC4B13">
              <w:rPr>
                <w:rFonts w:ascii="Arial" w:hAnsi="Arial" w:cs="Arial"/>
              </w:rPr>
              <w:t>130,00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221,00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173,05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0,17</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1301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1350</w:t>
            </w:r>
          </w:p>
        </w:tc>
        <w:tc>
          <w:tcPr>
            <w:tcW w:w="988" w:type="dxa"/>
          </w:tcPr>
          <w:p w:rsidR="00D71E9C" w:rsidRPr="00EC4B13" w:rsidRDefault="00D71E9C" w:rsidP="00A34A66">
            <w:pPr>
              <w:pStyle w:val="BodyText"/>
              <w:rPr>
                <w:rFonts w:ascii="Arial" w:hAnsi="Arial" w:cs="Arial"/>
              </w:rPr>
            </w:pPr>
            <w:r w:rsidRPr="00EC4B13">
              <w:rPr>
                <w:rFonts w:ascii="Arial" w:hAnsi="Arial" w:cs="Arial"/>
              </w:rPr>
              <w:t>130,10</w:t>
            </w:r>
          </w:p>
        </w:tc>
        <w:tc>
          <w:tcPr>
            <w:tcW w:w="988" w:type="dxa"/>
          </w:tcPr>
          <w:p w:rsidR="00D71E9C" w:rsidRPr="00EC4B13" w:rsidRDefault="00D71E9C" w:rsidP="00A34A66">
            <w:pPr>
              <w:pStyle w:val="BodyText"/>
              <w:rPr>
                <w:rFonts w:ascii="Arial" w:hAnsi="Arial" w:cs="Arial"/>
              </w:rPr>
            </w:pPr>
            <w:r w:rsidRPr="00EC4B13">
              <w:rPr>
                <w:rFonts w:ascii="Arial" w:hAnsi="Arial" w:cs="Arial"/>
              </w:rPr>
              <w:t>221,17</w:t>
            </w:r>
          </w:p>
        </w:tc>
        <w:tc>
          <w:tcPr>
            <w:tcW w:w="997" w:type="dxa"/>
          </w:tcPr>
          <w:p w:rsidR="00D71E9C" w:rsidRPr="00EC4B13" w:rsidRDefault="00D71E9C" w:rsidP="00A34A66">
            <w:pPr>
              <w:pStyle w:val="BodyText"/>
              <w:rPr>
                <w:rFonts w:ascii="Arial" w:hAnsi="Arial" w:cs="Arial"/>
              </w:rPr>
            </w:pPr>
            <w:r w:rsidRPr="00EC4B13">
              <w:rPr>
                <w:rFonts w:ascii="Arial" w:hAnsi="Arial" w:cs="Arial"/>
              </w:rPr>
              <w:t>135,00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229,50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179,80</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0,17</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lastRenderedPageBreak/>
              <w:t>1351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1400</w:t>
            </w:r>
          </w:p>
        </w:tc>
        <w:tc>
          <w:tcPr>
            <w:tcW w:w="988" w:type="dxa"/>
          </w:tcPr>
          <w:p w:rsidR="00D71E9C" w:rsidRPr="00EC4B13" w:rsidRDefault="00D71E9C" w:rsidP="00A34A66">
            <w:pPr>
              <w:pStyle w:val="BodyText"/>
              <w:rPr>
                <w:rFonts w:ascii="Arial" w:hAnsi="Arial" w:cs="Arial"/>
              </w:rPr>
            </w:pPr>
            <w:r w:rsidRPr="00EC4B13">
              <w:rPr>
                <w:rFonts w:ascii="Arial" w:hAnsi="Arial" w:cs="Arial"/>
              </w:rPr>
              <w:t>135,10</w:t>
            </w:r>
          </w:p>
        </w:tc>
        <w:tc>
          <w:tcPr>
            <w:tcW w:w="988" w:type="dxa"/>
          </w:tcPr>
          <w:p w:rsidR="00D71E9C" w:rsidRPr="00EC4B13" w:rsidRDefault="00D71E9C" w:rsidP="00A34A66">
            <w:pPr>
              <w:pStyle w:val="BodyText"/>
              <w:rPr>
                <w:rFonts w:ascii="Arial" w:hAnsi="Arial" w:cs="Arial"/>
              </w:rPr>
            </w:pPr>
            <w:r w:rsidRPr="00EC4B13">
              <w:rPr>
                <w:rFonts w:ascii="Arial" w:hAnsi="Arial" w:cs="Arial"/>
              </w:rPr>
              <w:t>229,67</w:t>
            </w:r>
          </w:p>
        </w:tc>
        <w:tc>
          <w:tcPr>
            <w:tcW w:w="997" w:type="dxa"/>
          </w:tcPr>
          <w:p w:rsidR="00D71E9C" w:rsidRPr="00EC4B13" w:rsidRDefault="00D71E9C" w:rsidP="00A34A66">
            <w:pPr>
              <w:pStyle w:val="BodyText"/>
              <w:rPr>
                <w:rFonts w:ascii="Arial" w:hAnsi="Arial" w:cs="Arial"/>
              </w:rPr>
            </w:pPr>
            <w:r w:rsidRPr="00EC4B13">
              <w:rPr>
                <w:rFonts w:ascii="Arial" w:hAnsi="Arial" w:cs="Arial"/>
              </w:rPr>
              <w:t>140,00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238,00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186,55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0,17</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1401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1450</w:t>
            </w:r>
          </w:p>
        </w:tc>
        <w:tc>
          <w:tcPr>
            <w:tcW w:w="988" w:type="dxa"/>
          </w:tcPr>
          <w:p w:rsidR="00D71E9C" w:rsidRPr="00EC4B13" w:rsidRDefault="00D71E9C" w:rsidP="00A34A66">
            <w:pPr>
              <w:pStyle w:val="BodyText"/>
              <w:rPr>
                <w:rFonts w:ascii="Arial" w:hAnsi="Arial" w:cs="Arial"/>
              </w:rPr>
            </w:pPr>
            <w:r w:rsidRPr="00EC4B13">
              <w:rPr>
                <w:rFonts w:ascii="Arial" w:hAnsi="Arial" w:cs="Arial"/>
              </w:rPr>
              <w:t>140,10</w:t>
            </w:r>
          </w:p>
        </w:tc>
        <w:tc>
          <w:tcPr>
            <w:tcW w:w="988" w:type="dxa"/>
          </w:tcPr>
          <w:p w:rsidR="00D71E9C" w:rsidRPr="00EC4B13" w:rsidRDefault="00D71E9C" w:rsidP="00A34A66">
            <w:pPr>
              <w:pStyle w:val="BodyText"/>
              <w:rPr>
                <w:rFonts w:ascii="Arial" w:hAnsi="Arial" w:cs="Arial"/>
              </w:rPr>
            </w:pPr>
            <w:r w:rsidRPr="00EC4B13">
              <w:rPr>
                <w:rFonts w:ascii="Arial" w:hAnsi="Arial" w:cs="Arial"/>
              </w:rPr>
              <w:t>238,17</w:t>
            </w:r>
          </w:p>
        </w:tc>
        <w:tc>
          <w:tcPr>
            <w:tcW w:w="997" w:type="dxa"/>
          </w:tcPr>
          <w:p w:rsidR="00D71E9C" w:rsidRPr="00EC4B13" w:rsidRDefault="00D71E9C" w:rsidP="00A34A66">
            <w:pPr>
              <w:pStyle w:val="BodyText"/>
              <w:rPr>
                <w:rFonts w:ascii="Arial" w:hAnsi="Arial" w:cs="Arial"/>
              </w:rPr>
            </w:pPr>
            <w:r w:rsidRPr="00EC4B13">
              <w:rPr>
                <w:rFonts w:ascii="Arial" w:hAnsi="Arial" w:cs="Arial"/>
              </w:rPr>
              <w:t>145,10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246,50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193,30</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0,17</w:t>
            </w:r>
          </w:p>
        </w:tc>
      </w:tr>
      <w:tr w:rsidR="00D71E9C" w:rsidRPr="00EC4B13" w:rsidTr="00A34A66">
        <w:trPr>
          <w:trHeight w:val="397"/>
        </w:trPr>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1451</w:t>
            </w:r>
          </w:p>
        </w:tc>
        <w:tc>
          <w:tcPr>
            <w:tcW w:w="96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1500</w:t>
            </w:r>
          </w:p>
        </w:tc>
        <w:tc>
          <w:tcPr>
            <w:tcW w:w="988" w:type="dxa"/>
          </w:tcPr>
          <w:p w:rsidR="00D71E9C" w:rsidRPr="00EC4B13" w:rsidRDefault="00D71E9C" w:rsidP="00A34A66">
            <w:pPr>
              <w:pStyle w:val="BodyText"/>
              <w:rPr>
                <w:rFonts w:ascii="Arial" w:hAnsi="Arial" w:cs="Arial"/>
              </w:rPr>
            </w:pPr>
            <w:r w:rsidRPr="00EC4B13">
              <w:rPr>
                <w:rFonts w:ascii="Arial" w:hAnsi="Arial" w:cs="Arial"/>
              </w:rPr>
              <w:t>145,10</w:t>
            </w:r>
          </w:p>
        </w:tc>
        <w:tc>
          <w:tcPr>
            <w:tcW w:w="988" w:type="dxa"/>
          </w:tcPr>
          <w:p w:rsidR="00D71E9C" w:rsidRPr="00EC4B13" w:rsidRDefault="00D71E9C" w:rsidP="00A34A66">
            <w:pPr>
              <w:pStyle w:val="BodyText"/>
              <w:rPr>
                <w:rFonts w:ascii="Arial" w:hAnsi="Arial" w:cs="Arial"/>
              </w:rPr>
            </w:pPr>
            <w:r w:rsidRPr="00EC4B13">
              <w:rPr>
                <w:rFonts w:ascii="Arial" w:hAnsi="Arial" w:cs="Arial"/>
              </w:rPr>
              <w:t>246,67</w:t>
            </w:r>
          </w:p>
        </w:tc>
        <w:tc>
          <w:tcPr>
            <w:tcW w:w="997" w:type="dxa"/>
          </w:tcPr>
          <w:p w:rsidR="00D71E9C" w:rsidRPr="00EC4B13" w:rsidRDefault="00D71E9C" w:rsidP="00A34A66">
            <w:pPr>
              <w:pStyle w:val="BodyText"/>
              <w:rPr>
                <w:rFonts w:ascii="Arial" w:hAnsi="Arial" w:cs="Arial"/>
              </w:rPr>
            </w:pPr>
            <w:r w:rsidRPr="00EC4B13">
              <w:rPr>
                <w:rFonts w:ascii="Arial" w:hAnsi="Arial" w:cs="Arial"/>
              </w:rPr>
              <w:t>150,00</w:t>
            </w:r>
          </w:p>
        </w:tc>
        <w:tc>
          <w:tcPr>
            <w:tcW w:w="978"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255,00</w:t>
            </w:r>
          </w:p>
        </w:tc>
        <w:tc>
          <w:tcPr>
            <w:tcW w:w="1425" w:type="dxa"/>
            <w:shd w:val="clear" w:color="auto" w:fill="B3B3B3"/>
          </w:tcPr>
          <w:p w:rsidR="00D71E9C" w:rsidRPr="00EC4B13" w:rsidRDefault="00D71E9C" w:rsidP="00A34A66">
            <w:pPr>
              <w:pStyle w:val="BodyText"/>
              <w:rPr>
                <w:rFonts w:ascii="Arial" w:hAnsi="Arial" w:cs="Arial"/>
                <w:b/>
                <w:bCs/>
              </w:rPr>
            </w:pPr>
            <w:r w:rsidRPr="00EC4B13">
              <w:rPr>
                <w:rFonts w:ascii="Arial" w:hAnsi="Arial" w:cs="Arial"/>
                <w:b/>
                <w:bCs/>
              </w:rPr>
              <w:t>200,05</w:t>
            </w:r>
          </w:p>
        </w:tc>
        <w:tc>
          <w:tcPr>
            <w:tcW w:w="986" w:type="dxa"/>
          </w:tcPr>
          <w:p w:rsidR="00D71E9C" w:rsidRPr="00EC4B13" w:rsidRDefault="00D71E9C" w:rsidP="00EB6E1A">
            <w:pPr>
              <w:numPr>
                <w:ilvl w:val="0"/>
                <w:numId w:val="0"/>
              </w:numPr>
              <w:ind w:left="709"/>
              <w:rPr>
                <w:sz w:val="24"/>
                <w:szCs w:val="24"/>
              </w:rPr>
            </w:pPr>
            <w:r w:rsidRPr="00EC4B13">
              <w:rPr>
                <w:rFonts w:ascii="Arial" w:hAnsi="Arial" w:cs="Arial"/>
                <w:sz w:val="24"/>
                <w:szCs w:val="24"/>
              </w:rPr>
              <w:t>0,10</w:t>
            </w:r>
          </w:p>
        </w:tc>
        <w:tc>
          <w:tcPr>
            <w:tcW w:w="990" w:type="dxa"/>
          </w:tcPr>
          <w:p w:rsidR="00D71E9C" w:rsidRPr="00EC4B13" w:rsidRDefault="00D71E9C" w:rsidP="00A34A66">
            <w:pPr>
              <w:pStyle w:val="BodyText"/>
              <w:rPr>
                <w:rFonts w:ascii="Arial" w:hAnsi="Arial" w:cs="Arial"/>
              </w:rPr>
            </w:pPr>
            <w:r w:rsidRPr="00EC4B13">
              <w:rPr>
                <w:rFonts w:ascii="Arial" w:hAnsi="Arial" w:cs="Arial"/>
              </w:rPr>
              <w:t>0,17</w:t>
            </w:r>
          </w:p>
        </w:tc>
      </w:tr>
    </w:tbl>
    <w:p w:rsidR="00D71E9C" w:rsidRPr="00EC4B13" w:rsidRDefault="00D71E9C" w:rsidP="00D71E9C">
      <w:pPr>
        <w:numPr>
          <w:ilvl w:val="0"/>
          <w:numId w:val="0"/>
        </w:numPr>
        <w:jc w:val="both"/>
        <w:rPr>
          <w:rFonts w:ascii="Arial" w:hAnsi="Arial" w:cs="Arial"/>
        </w:rPr>
      </w:pPr>
    </w:p>
    <w:p w:rsidR="00D71E9C" w:rsidRPr="00EC4B13" w:rsidRDefault="00D71E9C" w:rsidP="00D71E9C">
      <w:pPr>
        <w:numPr>
          <w:ilvl w:val="0"/>
          <w:numId w:val="0"/>
        </w:numPr>
        <w:jc w:val="both"/>
        <w:rPr>
          <w:rFonts w:ascii="Arial" w:hAnsi="Arial" w:cs="Arial"/>
        </w:rPr>
      </w:pPr>
    </w:p>
    <w:p w:rsidR="001D6A62" w:rsidRPr="001D6A62" w:rsidRDefault="001D6A62" w:rsidP="001D6A62">
      <w:pPr>
        <w:numPr>
          <w:ilvl w:val="0"/>
          <w:numId w:val="0"/>
        </w:numPr>
        <w:ind w:left="367"/>
        <w:jc w:val="both"/>
        <w:rPr>
          <w:rFonts w:ascii="Arial" w:hAnsi="Arial" w:cs="Arial"/>
          <w:sz w:val="22"/>
          <w:szCs w:val="22"/>
        </w:rPr>
      </w:pPr>
      <w:r w:rsidRPr="001D6A62">
        <w:rPr>
          <w:rFonts w:ascii="Arial" w:hAnsi="Arial" w:cs="Arial"/>
          <w:sz w:val="22"/>
          <w:szCs w:val="22"/>
        </w:rPr>
        <w:t>Za obiteljske stambene građevine koje se grade u izgrađenom dijelu građevinskog područja ovog Plana, a čija minimalna površina može biti 250 m2, ima postotak izgrađenosti koji važi za parcele veličine 300 m2.</w:t>
      </w:r>
    </w:p>
    <w:p w:rsidR="001D6A62" w:rsidRDefault="001D6A62" w:rsidP="00D71E9C">
      <w:pPr>
        <w:numPr>
          <w:ilvl w:val="0"/>
          <w:numId w:val="0"/>
        </w:numPr>
        <w:ind w:left="425"/>
        <w:jc w:val="both"/>
        <w:rPr>
          <w:rFonts w:ascii="Arial" w:hAnsi="Arial" w:cs="Arial"/>
          <w:sz w:val="22"/>
          <w:szCs w:val="22"/>
        </w:rPr>
      </w:pPr>
    </w:p>
    <w:p w:rsidR="00D71E9C" w:rsidRPr="00EC4B13" w:rsidRDefault="00D71E9C" w:rsidP="00D71E9C">
      <w:pPr>
        <w:numPr>
          <w:ilvl w:val="0"/>
          <w:numId w:val="0"/>
        </w:numPr>
        <w:ind w:left="425"/>
        <w:jc w:val="both"/>
        <w:rPr>
          <w:rFonts w:ascii="Arial" w:hAnsi="Arial" w:cs="Arial"/>
          <w:sz w:val="22"/>
          <w:szCs w:val="22"/>
        </w:rPr>
      </w:pPr>
      <w:r w:rsidRPr="00EC4B13">
        <w:rPr>
          <w:rFonts w:ascii="Arial" w:hAnsi="Arial" w:cs="Arial"/>
          <w:sz w:val="22"/>
          <w:szCs w:val="22"/>
        </w:rPr>
        <w:t xml:space="preserve">Građevinska parcela na kojoj se može graditi građevina individualnog stanovanja kao dvojna zgrada i zgrada u nizu ima ukupan postotak izgrađenosti, koji se određuje prema </w:t>
      </w:r>
      <w:r w:rsidRPr="00EC4B13">
        <w:rPr>
          <w:rFonts w:ascii="Arial" w:hAnsi="Arial" w:cs="Arial"/>
          <w:b/>
          <w:bCs/>
          <w:sz w:val="22"/>
          <w:szCs w:val="22"/>
        </w:rPr>
        <w:t>Tablici Il</w:t>
      </w:r>
      <w:r w:rsidRPr="00EC4B13">
        <w:rPr>
          <w:rFonts w:ascii="Arial" w:hAnsi="Arial" w:cs="Arial"/>
          <w:sz w:val="22"/>
          <w:szCs w:val="22"/>
        </w:rPr>
        <w:t>:</w:t>
      </w:r>
    </w:p>
    <w:p w:rsidR="00467BAF" w:rsidRPr="00EC4B13" w:rsidRDefault="00467BAF" w:rsidP="00D71E9C">
      <w:pPr>
        <w:numPr>
          <w:ilvl w:val="0"/>
          <w:numId w:val="0"/>
        </w:numPr>
        <w:ind w:left="709"/>
        <w:jc w:val="center"/>
        <w:rPr>
          <w:rFonts w:ascii="Tahoma" w:hAnsi="Tahoma" w:cs="Tahoma"/>
          <w:i/>
        </w:rPr>
      </w:pPr>
    </w:p>
    <w:p w:rsidR="00467BAF" w:rsidRPr="00EC4B13" w:rsidRDefault="00467BAF" w:rsidP="00D71E9C">
      <w:pPr>
        <w:numPr>
          <w:ilvl w:val="0"/>
          <w:numId w:val="0"/>
        </w:numPr>
        <w:ind w:left="709"/>
        <w:jc w:val="center"/>
        <w:rPr>
          <w:rFonts w:ascii="Tahoma" w:hAnsi="Tahoma" w:cs="Tahoma"/>
          <w:i/>
        </w:rPr>
      </w:pPr>
    </w:p>
    <w:p w:rsidR="00D71E9C" w:rsidRPr="00EC4B13" w:rsidRDefault="00D71E9C" w:rsidP="00D71E9C">
      <w:pPr>
        <w:numPr>
          <w:ilvl w:val="0"/>
          <w:numId w:val="0"/>
        </w:numPr>
        <w:ind w:left="709"/>
        <w:jc w:val="center"/>
        <w:rPr>
          <w:rFonts w:ascii="Tahoma" w:hAnsi="Tahoma" w:cs="Tahoma"/>
          <w:i/>
        </w:rPr>
      </w:pPr>
      <w:r w:rsidRPr="00EC4B13">
        <w:rPr>
          <w:rFonts w:ascii="Tahoma" w:hAnsi="Tahoma" w:cs="Tahoma"/>
          <w:i/>
        </w:rPr>
        <w:t>TABLICA II</w:t>
      </w:r>
    </w:p>
    <w:p w:rsidR="00D71E9C" w:rsidRPr="00EC4B13" w:rsidRDefault="00D71E9C" w:rsidP="00D71E9C">
      <w:pPr>
        <w:numPr>
          <w:ilvl w:val="0"/>
          <w:numId w:val="0"/>
        </w:numPr>
        <w:ind w:left="709"/>
        <w:jc w:val="center"/>
        <w:rPr>
          <w:rFonts w:ascii="Tahoma" w:hAnsi="Tahoma" w:cs="Tahoma"/>
          <w: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6"/>
        <w:gridCol w:w="1626"/>
        <w:gridCol w:w="1858"/>
        <w:gridCol w:w="1858"/>
        <w:gridCol w:w="1498"/>
      </w:tblGrid>
      <w:tr w:rsidR="00D71E9C" w:rsidRPr="00EC4B13" w:rsidTr="00A34A66">
        <w:trPr>
          <w:cantSplit/>
        </w:trPr>
        <w:tc>
          <w:tcPr>
            <w:tcW w:w="1440" w:type="dxa"/>
            <w:tcBorders>
              <w:bottom w:val="nil"/>
            </w:tcBorders>
          </w:tcPr>
          <w:p w:rsidR="00D71E9C" w:rsidRPr="00EC4B13" w:rsidRDefault="00D71E9C" w:rsidP="00D71E9C">
            <w:pPr>
              <w:numPr>
                <w:ilvl w:val="0"/>
                <w:numId w:val="0"/>
              </w:numPr>
              <w:ind w:left="709"/>
              <w:rPr>
                <w:rFonts w:ascii="Arial" w:hAnsi="Arial" w:cs="Arial"/>
                <w:i/>
              </w:rPr>
            </w:pPr>
          </w:p>
          <w:p w:rsidR="00D71E9C" w:rsidRPr="00EC4B13" w:rsidRDefault="00D71E9C" w:rsidP="00D71E9C">
            <w:pPr>
              <w:numPr>
                <w:ilvl w:val="0"/>
                <w:numId w:val="0"/>
              </w:numPr>
              <w:ind w:left="709"/>
              <w:rPr>
                <w:rFonts w:ascii="Arial" w:hAnsi="Arial" w:cs="Arial"/>
                <w:i/>
                <w:sz w:val="22"/>
                <w:szCs w:val="22"/>
              </w:rPr>
            </w:pPr>
            <w:r w:rsidRPr="00EC4B13">
              <w:rPr>
                <w:rFonts w:ascii="Arial" w:hAnsi="Arial" w:cs="Arial"/>
                <w:i/>
                <w:sz w:val="22"/>
                <w:szCs w:val="22"/>
              </w:rPr>
              <w:t>Veličina</w:t>
            </w:r>
          </w:p>
        </w:tc>
        <w:tc>
          <w:tcPr>
            <w:tcW w:w="6840" w:type="dxa"/>
            <w:gridSpan w:val="4"/>
          </w:tcPr>
          <w:p w:rsidR="00D71E9C" w:rsidRPr="00EC4B13" w:rsidRDefault="00D71E9C" w:rsidP="00D71E9C">
            <w:pPr>
              <w:numPr>
                <w:ilvl w:val="0"/>
                <w:numId w:val="0"/>
              </w:numPr>
              <w:ind w:left="709"/>
              <w:rPr>
                <w:rFonts w:ascii="Arial" w:hAnsi="Arial" w:cs="Arial"/>
                <w:i/>
                <w:sz w:val="22"/>
                <w:szCs w:val="22"/>
              </w:rPr>
            </w:pPr>
            <w:r w:rsidRPr="00EC4B13">
              <w:rPr>
                <w:rFonts w:ascii="Arial" w:hAnsi="Arial" w:cs="Arial"/>
                <w:i/>
                <w:sz w:val="22"/>
                <w:szCs w:val="22"/>
              </w:rPr>
              <w:t xml:space="preserve">Koeficijent izgrađenosti građevne čestice </w:t>
            </w:r>
          </w:p>
          <w:p w:rsidR="00D71E9C" w:rsidRPr="00EC4B13" w:rsidRDefault="00D71E9C" w:rsidP="00D71E9C">
            <w:pPr>
              <w:numPr>
                <w:ilvl w:val="0"/>
                <w:numId w:val="0"/>
              </w:numPr>
              <w:ind w:left="709"/>
              <w:rPr>
                <w:rFonts w:ascii="Arial" w:hAnsi="Arial" w:cs="Arial"/>
                <w:i/>
                <w:sz w:val="22"/>
                <w:szCs w:val="22"/>
              </w:rPr>
            </w:pPr>
          </w:p>
          <w:p w:rsidR="00D71E9C" w:rsidRPr="00EC4B13" w:rsidRDefault="00D71E9C" w:rsidP="00D71E9C">
            <w:pPr>
              <w:numPr>
                <w:ilvl w:val="0"/>
                <w:numId w:val="0"/>
              </w:numPr>
              <w:ind w:left="709"/>
              <w:rPr>
                <w:rFonts w:ascii="Arial" w:hAnsi="Arial" w:cs="Arial"/>
                <w:i/>
              </w:rPr>
            </w:pPr>
            <w:r w:rsidRPr="00EC4B13">
              <w:rPr>
                <w:rFonts w:ascii="Arial" w:hAnsi="Arial" w:cs="Arial"/>
                <w:i/>
                <w:sz w:val="22"/>
                <w:szCs w:val="22"/>
              </w:rPr>
              <w:t>kig</w:t>
            </w:r>
          </w:p>
        </w:tc>
      </w:tr>
      <w:tr w:rsidR="00D71E9C" w:rsidRPr="00EC4B13" w:rsidTr="00A34A66">
        <w:trPr>
          <w:cantSplit/>
        </w:trPr>
        <w:tc>
          <w:tcPr>
            <w:tcW w:w="1440" w:type="dxa"/>
            <w:tcBorders>
              <w:top w:val="nil"/>
              <w:bottom w:val="nil"/>
            </w:tcBorders>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parcele</w:t>
            </w:r>
          </w:p>
        </w:tc>
        <w:tc>
          <w:tcPr>
            <w:tcW w:w="3484" w:type="dxa"/>
            <w:gridSpan w:val="2"/>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Dvojna građevina</w:t>
            </w:r>
          </w:p>
        </w:tc>
        <w:tc>
          <w:tcPr>
            <w:tcW w:w="3356" w:type="dxa"/>
            <w:gridSpan w:val="2"/>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Građevina u nizu (ili interpolirana građevina)</w:t>
            </w:r>
          </w:p>
        </w:tc>
      </w:tr>
      <w:tr w:rsidR="00D71E9C" w:rsidRPr="00EC4B13" w:rsidTr="00A34A66">
        <w:tc>
          <w:tcPr>
            <w:tcW w:w="1440" w:type="dxa"/>
            <w:tcBorders>
              <w:top w:val="nil"/>
            </w:tcBorders>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(m</w:t>
            </w:r>
            <w:r w:rsidRPr="00EC4B13">
              <w:rPr>
                <w:rFonts w:ascii="Arial" w:hAnsi="Arial" w:cs="Arial"/>
                <w:sz w:val="22"/>
                <w:szCs w:val="22"/>
                <w:vertAlign w:val="superscript"/>
              </w:rPr>
              <w:t>2</w:t>
            </w:r>
            <w:r w:rsidRPr="00EC4B13">
              <w:rPr>
                <w:rFonts w:ascii="Arial" w:hAnsi="Arial" w:cs="Arial"/>
                <w:sz w:val="22"/>
                <w:szCs w:val="22"/>
              </w:rPr>
              <w:t>)</w:t>
            </w:r>
          </w:p>
        </w:tc>
        <w:tc>
          <w:tcPr>
            <w:tcW w:w="1626"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min.</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max.</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min.</w:t>
            </w:r>
          </w:p>
        </w:tc>
        <w:tc>
          <w:tcPr>
            <w:tcW w:w="149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max.</w:t>
            </w:r>
          </w:p>
        </w:tc>
      </w:tr>
      <w:tr w:rsidR="00D71E9C" w:rsidRPr="00EC4B13" w:rsidTr="00A34A66">
        <w:tc>
          <w:tcPr>
            <w:tcW w:w="1440" w:type="dxa"/>
          </w:tcPr>
          <w:p w:rsidR="00D71E9C" w:rsidRPr="00EC4B13" w:rsidRDefault="00D71E9C" w:rsidP="00D71E9C">
            <w:pPr>
              <w:numPr>
                <w:ilvl w:val="0"/>
                <w:numId w:val="0"/>
              </w:numPr>
              <w:ind w:left="709" w:hanging="284"/>
              <w:rPr>
                <w:rFonts w:ascii="Arial" w:hAnsi="Arial" w:cs="Arial"/>
                <w:sz w:val="22"/>
                <w:szCs w:val="22"/>
              </w:rPr>
            </w:pPr>
            <w:r w:rsidRPr="00EC4B13">
              <w:rPr>
                <w:rFonts w:ascii="Arial" w:hAnsi="Arial" w:cs="Arial"/>
                <w:sz w:val="22"/>
                <w:szCs w:val="22"/>
              </w:rPr>
              <w:t>do 300</w:t>
            </w:r>
          </w:p>
        </w:tc>
        <w:tc>
          <w:tcPr>
            <w:tcW w:w="1626"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0,20</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0,50</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0,25</w:t>
            </w:r>
          </w:p>
        </w:tc>
        <w:tc>
          <w:tcPr>
            <w:tcW w:w="149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0,60</w:t>
            </w:r>
          </w:p>
        </w:tc>
      </w:tr>
      <w:tr w:rsidR="00D71E9C" w:rsidRPr="00EC4B13" w:rsidTr="00A34A66">
        <w:tc>
          <w:tcPr>
            <w:tcW w:w="1440" w:type="dxa"/>
          </w:tcPr>
          <w:p w:rsidR="00D71E9C" w:rsidRPr="00EC4B13" w:rsidRDefault="00D71E9C" w:rsidP="00D71E9C">
            <w:pPr>
              <w:numPr>
                <w:ilvl w:val="0"/>
                <w:numId w:val="0"/>
              </w:numPr>
              <w:ind w:left="709" w:hanging="284"/>
              <w:rPr>
                <w:rFonts w:ascii="Arial" w:hAnsi="Arial" w:cs="Arial"/>
                <w:sz w:val="22"/>
                <w:szCs w:val="22"/>
              </w:rPr>
            </w:pPr>
            <w:r w:rsidRPr="00EC4B13">
              <w:rPr>
                <w:rFonts w:ascii="Arial" w:hAnsi="Arial" w:cs="Arial"/>
                <w:sz w:val="22"/>
                <w:szCs w:val="22"/>
              </w:rPr>
              <w:t>300-400</w:t>
            </w:r>
          </w:p>
          <w:p w:rsidR="00D71E9C" w:rsidRPr="00EC4B13" w:rsidRDefault="00D71E9C" w:rsidP="00D71E9C">
            <w:pPr>
              <w:numPr>
                <w:ilvl w:val="0"/>
                <w:numId w:val="0"/>
              </w:numPr>
              <w:ind w:left="709"/>
              <w:rPr>
                <w:rFonts w:ascii="Arial" w:hAnsi="Arial" w:cs="Arial"/>
                <w:sz w:val="22"/>
                <w:szCs w:val="22"/>
              </w:rPr>
            </w:pPr>
          </w:p>
        </w:tc>
        <w:tc>
          <w:tcPr>
            <w:tcW w:w="1626"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0,18</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0,40</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0,20</w:t>
            </w:r>
          </w:p>
        </w:tc>
        <w:tc>
          <w:tcPr>
            <w:tcW w:w="149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0,50</w:t>
            </w:r>
          </w:p>
        </w:tc>
      </w:tr>
      <w:tr w:rsidR="00D71E9C" w:rsidRPr="00EC4B13" w:rsidTr="00A34A66">
        <w:tc>
          <w:tcPr>
            <w:tcW w:w="1440" w:type="dxa"/>
          </w:tcPr>
          <w:p w:rsidR="00D71E9C" w:rsidRPr="00EC4B13" w:rsidRDefault="00D71E9C" w:rsidP="00D71E9C">
            <w:pPr>
              <w:numPr>
                <w:ilvl w:val="0"/>
                <w:numId w:val="0"/>
              </w:numPr>
              <w:ind w:left="709" w:hanging="284"/>
              <w:rPr>
                <w:rFonts w:ascii="Arial" w:hAnsi="Arial" w:cs="Arial"/>
                <w:sz w:val="22"/>
                <w:szCs w:val="22"/>
              </w:rPr>
            </w:pPr>
            <w:r w:rsidRPr="00EC4B13">
              <w:rPr>
                <w:rFonts w:ascii="Arial" w:hAnsi="Arial" w:cs="Arial"/>
                <w:sz w:val="22"/>
                <w:szCs w:val="22"/>
              </w:rPr>
              <w:t>401-500</w:t>
            </w:r>
          </w:p>
        </w:tc>
        <w:tc>
          <w:tcPr>
            <w:tcW w:w="1626"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0,15</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0,30</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49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r>
      <w:tr w:rsidR="00D71E9C" w:rsidRPr="00EC4B13" w:rsidTr="00A34A66">
        <w:tc>
          <w:tcPr>
            <w:tcW w:w="1440" w:type="dxa"/>
          </w:tcPr>
          <w:p w:rsidR="00D71E9C" w:rsidRPr="00EC4B13" w:rsidRDefault="00D71E9C" w:rsidP="00D71E9C">
            <w:pPr>
              <w:numPr>
                <w:ilvl w:val="0"/>
                <w:numId w:val="0"/>
              </w:numPr>
              <w:ind w:left="709" w:hanging="284"/>
              <w:rPr>
                <w:rFonts w:ascii="Arial" w:hAnsi="Arial" w:cs="Arial"/>
                <w:sz w:val="22"/>
                <w:szCs w:val="22"/>
              </w:rPr>
            </w:pPr>
            <w:r w:rsidRPr="00EC4B13">
              <w:rPr>
                <w:rFonts w:ascii="Arial" w:hAnsi="Arial" w:cs="Arial"/>
                <w:sz w:val="22"/>
                <w:szCs w:val="22"/>
              </w:rPr>
              <w:t>501-600</w:t>
            </w:r>
          </w:p>
        </w:tc>
        <w:tc>
          <w:tcPr>
            <w:tcW w:w="1626"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49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r>
      <w:tr w:rsidR="00D71E9C" w:rsidRPr="00EC4B13" w:rsidTr="00A34A66">
        <w:tc>
          <w:tcPr>
            <w:tcW w:w="1440" w:type="dxa"/>
          </w:tcPr>
          <w:p w:rsidR="00D71E9C" w:rsidRPr="00EC4B13" w:rsidRDefault="00D71E9C" w:rsidP="00D71E9C">
            <w:pPr>
              <w:numPr>
                <w:ilvl w:val="0"/>
                <w:numId w:val="0"/>
              </w:numPr>
              <w:ind w:left="709" w:hanging="284"/>
              <w:rPr>
                <w:rFonts w:ascii="Arial" w:hAnsi="Arial" w:cs="Arial"/>
                <w:sz w:val="22"/>
                <w:szCs w:val="22"/>
              </w:rPr>
            </w:pPr>
            <w:r w:rsidRPr="00EC4B13">
              <w:rPr>
                <w:rFonts w:ascii="Arial" w:hAnsi="Arial" w:cs="Arial"/>
                <w:sz w:val="22"/>
                <w:szCs w:val="22"/>
              </w:rPr>
              <w:t>601-700</w:t>
            </w:r>
          </w:p>
        </w:tc>
        <w:tc>
          <w:tcPr>
            <w:tcW w:w="1626"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85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c>
          <w:tcPr>
            <w:tcW w:w="1498" w:type="dxa"/>
          </w:tcPr>
          <w:p w:rsidR="00D71E9C" w:rsidRPr="00EC4B13" w:rsidRDefault="00D71E9C" w:rsidP="00D71E9C">
            <w:pPr>
              <w:numPr>
                <w:ilvl w:val="0"/>
                <w:numId w:val="0"/>
              </w:numPr>
              <w:ind w:left="709"/>
              <w:rPr>
                <w:rFonts w:ascii="Arial" w:hAnsi="Arial" w:cs="Arial"/>
                <w:sz w:val="22"/>
                <w:szCs w:val="22"/>
              </w:rPr>
            </w:pPr>
            <w:r w:rsidRPr="00EC4B13">
              <w:rPr>
                <w:rFonts w:ascii="Arial" w:hAnsi="Arial" w:cs="Arial"/>
                <w:sz w:val="22"/>
                <w:szCs w:val="22"/>
              </w:rPr>
              <w:t>-</w:t>
            </w:r>
          </w:p>
        </w:tc>
      </w:tr>
    </w:tbl>
    <w:p w:rsidR="00D71E9C" w:rsidRPr="00EC4B13" w:rsidRDefault="00D71E9C" w:rsidP="00D71E9C">
      <w:pPr>
        <w:numPr>
          <w:ilvl w:val="0"/>
          <w:numId w:val="0"/>
        </w:numPr>
        <w:ind w:left="709"/>
        <w:jc w:val="both"/>
        <w:rPr>
          <w:rFonts w:ascii="Arial" w:hAnsi="Arial" w:cs="Arial"/>
          <w:sz w:val="22"/>
          <w:szCs w:val="22"/>
        </w:rPr>
      </w:pPr>
    </w:p>
    <w:p w:rsidR="00D71E9C" w:rsidRPr="00EC4B13" w:rsidRDefault="00D71E9C" w:rsidP="00D71E9C">
      <w:pPr>
        <w:numPr>
          <w:ilvl w:val="0"/>
          <w:numId w:val="0"/>
        </w:numPr>
        <w:ind w:left="709"/>
        <w:jc w:val="both"/>
        <w:rPr>
          <w:rFonts w:ascii="Calibri" w:hAnsi="Calibri" w:cs="Calibri"/>
          <w:sz w:val="24"/>
          <w:szCs w:val="24"/>
        </w:rPr>
      </w:pPr>
      <w:r w:rsidRPr="00EC4B13">
        <w:rPr>
          <w:rFonts w:ascii="Calibri" w:hAnsi="Calibri" w:cs="Calibri"/>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 m, osim ukoliko i nadzemni dio građevine, u skladu s ovim odredbama, nije na manjoj udaljenosti.</w:t>
      </w:r>
    </w:p>
    <w:p w:rsidR="00D71E9C" w:rsidRPr="00EC4B13" w:rsidRDefault="00D71E9C" w:rsidP="00D71E9C">
      <w:pPr>
        <w:pStyle w:val="NoSpacing"/>
        <w:rPr>
          <w:rFonts w:cs="Calibri"/>
        </w:rPr>
      </w:pPr>
    </w:p>
    <w:p w:rsidR="00D71E9C" w:rsidRPr="00D71E9C" w:rsidRDefault="00D71E9C" w:rsidP="00D71E9C">
      <w:pPr>
        <w:numPr>
          <w:ilvl w:val="0"/>
          <w:numId w:val="0"/>
        </w:numPr>
        <w:rPr>
          <w:lang w:val="hr-HR"/>
        </w:rPr>
      </w:pPr>
    </w:p>
    <w:p w:rsidR="00315132" w:rsidRPr="00D71E9C" w:rsidRDefault="00315132">
      <w:pPr>
        <w:pStyle w:val="janja"/>
        <w:spacing w:before="120" w:after="120"/>
        <w:rPr>
          <w:rFonts w:ascii="Calibri" w:hAnsi="Calibri" w:cs="Calibri"/>
          <w:b/>
          <w:sz w:val="24"/>
          <w:szCs w:val="24"/>
          <w:lang w:val="hr-HR"/>
        </w:rPr>
      </w:pPr>
      <w:r w:rsidRPr="00D71E9C">
        <w:rPr>
          <w:rFonts w:ascii="Calibri" w:hAnsi="Calibri" w:cs="Calibri"/>
          <w:b/>
          <w:sz w:val="24"/>
          <w:szCs w:val="24"/>
          <w:lang w:val="hr-HR"/>
        </w:rPr>
        <w:t>Visina građevina</w:t>
      </w:r>
    </w:p>
    <w:p w:rsidR="00315132" w:rsidRDefault="00315132" w:rsidP="00EC4B13">
      <w:pPr>
        <w:pStyle w:val="Caption"/>
        <w:tabs>
          <w:tab w:val="num" w:pos="426"/>
        </w:tabs>
        <w:jc w:val="left"/>
        <w:rPr>
          <w:rFonts w:ascii="Calibri" w:hAnsi="Calibri" w:cs="Calibri"/>
          <w:szCs w:val="24"/>
        </w:rPr>
      </w:pPr>
      <w:r w:rsidRPr="00D71E9C">
        <w:rPr>
          <w:rFonts w:ascii="Calibri" w:hAnsi="Calibri" w:cs="Calibri"/>
          <w:szCs w:val="24"/>
        </w:rPr>
        <w:t xml:space="preserve">Članak </w:t>
      </w:r>
      <w:r w:rsidR="00D15348" w:rsidRPr="00D71E9C">
        <w:rPr>
          <w:rFonts w:ascii="Calibri" w:hAnsi="Calibri" w:cs="Calibri"/>
          <w:szCs w:val="24"/>
        </w:rPr>
        <w:fldChar w:fldCharType="begin"/>
      </w:r>
      <w:r w:rsidRPr="00D71E9C">
        <w:rPr>
          <w:rFonts w:ascii="Calibri" w:hAnsi="Calibri" w:cs="Calibri"/>
          <w:szCs w:val="24"/>
        </w:rPr>
        <w:instrText xml:space="preserve"> SEQ Članak \* ARABIC </w:instrText>
      </w:r>
      <w:r w:rsidR="00D15348" w:rsidRPr="00D71E9C">
        <w:rPr>
          <w:rFonts w:ascii="Calibri" w:hAnsi="Calibri" w:cs="Calibri"/>
          <w:szCs w:val="24"/>
        </w:rPr>
        <w:fldChar w:fldCharType="separate"/>
      </w:r>
      <w:r w:rsidR="001A3124">
        <w:rPr>
          <w:rFonts w:ascii="Calibri" w:hAnsi="Calibri" w:cs="Calibri"/>
          <w:noProof/>
          <w:szCs w:val="24"/>
        </w:rPr>
        <w:t>11</w:t>
      </w:r>
      <w:r w:rsidR="00D15348" w:rsidRPr="00D71E9C">
        <w:rPr>
          <w:rFonts w:ascii="Calibri" w:hAnsi="Calibri" w:cs="Calibri"/>
          <w:szCs w:val="24"/>
        </w:rPr>
        <w:fldChar w:fldCharType="end"/>
      </w:r>
      <w:r w:rsidRPr="00D71E9C">
        <w:rPr>
          <w:rFonts w:ascii="Calibri" w:hAnsi="Calibri" w:cs="Calibri"/>
          <w:szCs w:val="24"/>
        </w:rPr>
        <w:t>.</w:t>
      </w:r>
    </w:p>
    <w:p w:rsidR="00EC4B13" w:rsidRDefault="00EC4B13" w:rsidP="00EC4B13">
      <w:pPr>
        <w:numPr>
          <w:ilvl w:val="0"/>
          <w:numId w:val="0"/>
        </w:numPr>
        <w:rPr>
          <w:lang w:val="hr-HR"/>
        </w:rPr>
      </w:pPr>
    </w:p>
    <w:p w:rsidR="00EC4B13" w:rsidRPr="00BC00CC" w:rsidRDefault="00EC4B13" w:rsidP="00EC4B13">
      <w:pPr>
        <w:numPr>
          <w:ilvl w:val="0"/>
          <w:numId w:val="0"/>
        </w:numPr>
        <w:rPr>
          <w:rFonts w:asciiTheme="minorHAnsi" w:hAnsiTheme="minorHAnsi" w:cstheme="minorHAnsi"/>
          <w:sz w:val="22"/>
          <w:szCs w:val="22"/>
          <w:lang w:val="hr-HR"/>
        </w:rPr>
      </w:pPr>
      <w:r w:rsidRPr="00BC00CC">
        <w:rPr>
          <w:rFonts w:asciiTheme="minorHAnsi" w:hAnsiTheme="minorHAnsi" w:cstheme="minorHAnsi"/>
          <w:sz w:val="22"/>
          <w:szCs w:val="22"/>
          <w:lang w:val="hr-HR"/>
        </w:rPr>
        <w:t>Članak 11. mijenja se i sada glasi:</w:t>
      </w:r>
    </w:p>
    <w:p w:rsidR="00EC4B13" w:rsidRPr="00EC4B13" w:rsidRDefault="00EC4B13" w:rsidP="00EC4B13">
      <w:pPr>
        <w:numPr>
          <w:ilvl w:val="0"/>
          <w:numId w:val="0"/>
        </w:numPr>
        <w:rPr>
          <w:rFonts w:asciiTheme="minorHAnsi" w:hAnsiTheme="minorHAnsi" w:cstheme="minorHAnsi"/>
          <w:b/>
          <w:sz w:val="22"/>
          <w:szCs w:val="22"/>
          <w:lang w:val="hr-HR"/>
        </w:rPr>
      </w:pPr>
    </w:p>
    <w:p w:rsidR="0051496B" w:rsidRPr="00EC4B13" w:rsidRDefault="0051496B" w:rsidP="0051496B">
      <w:pPr>
        <w:pStyle w:val="NoSpacing"/>
        <w:jc w:val="both"/>
        <w:rPr>
          <w:sz w:val="24"/>
          <w:szCs w:val="24"/>
        </w:rPr>
      </w:pPr>
      <w:r w:rsidRPr="00EC4B13">
        <w:rPr>
          <w:spacing w:val="-4"/>
          <w:sz w:val="24"/>
          <w:szCs w:val="24"/>
        </w:rPr>
        <w:t xml:space="preserve">Visina građevina kao i izgrađenost građevne čestice moraju slijediti principe </w:t>
      </w:r>
      <w:r w:rsidRPr="00EC4B13">
        <w:rPr>
          <w:sz w:val="24"/>
          <w:szCs w:val="24"/>
        </w:rPr>
        <w:t xml:space="preserve">čuvanja vrijednih fizionomskih i morfoloških obilježja krajobraza i izgrađenih struktura naselja Sutivan. </w:t>
      </w:r>
      <w:r w:rsidRPr="00EC4B13">
        <w:rPr>
          <w:sz w:val="24"/>
          <w:szCs w:val="24"/>
          <w:lang w:val="pt-BR"/>
        </w:rPr>
        <w:t>Maksimalni broj etaža  građevine može biti Po+P+1+Pk s kosim krovom odnosno P+1 s  ravnim krovom. Dozvoljena je i kombinacija kosog i ravnog krova na istoj građevini. Ukoliko je nagib prirodnog terena građevne čestice (uzevši u obzir najvišu i najnižu točku građevne čestice i njihovu udaljenost) manji od 10 % (1:10) teren se smatra ravnim, a ukoliko je taj nagib veći teren se smatra kosim.</w:t>
      </w:r>
    </w:p>
    <w:p w:rsidR="0051496B" w:rsidRPr="00EC4B13" w:rsidRDefault="0051496B" w:rsidP="0051496B">
      <w:pPr>
        <w:numPr>
          <w:ilvl w:val="0"/>
          <w:numId w:val="0"/>
        </w:numPr>
        <w:jc w:val="both"/>
        <w:rPr>
          <w:rFonts w:ascii="Calibri" w:hAnsi="Calibri" w:cs="Calibri"/>
          <w:sz w:val="24"/>
          <w:szCs w:val="24"/>
        </w:rPr>
      </w:pPr>
      <w:r w:rsidRPr="00EC4B13">
        <w:rPr>
          <w:rFonts w:ascii="Calibri" w:hAnsi="Calibri" w:cs="Calibri"/>
          <w:spacing w:val="-4"/>
          <w:sz w:val="24"/>
          <w:szCs w:val="24"/>
        </w:rPr>
        <w:t>Maksimalni  broj etaža građevina u nizu je Po+P+1+Pk.</w:t>
      </w:r>
    </w:p>
    <w:p w:rsidR="00315132" w:rsidRPr="00D71E9C" w:rsidRDefault="00315132">
      <w:pPr>
        <w:pStyle w:val="janja"/>
        <w:spacing w:before="120" w:after="120"/>
        <w:rPr>
          <w:rFonts w:ascii="Calibri" w:hAnsi="Calibri" w:cs="Calibri"/>
          <w:snapToGrid w:val="0"/>
          <w:sz w:val="24"/>
          <w:szCs w:val="24"/>
          <w:lang w:val="hr-HR"/>
        </w:rPr>
      </w:pPr>
      <w:r w:rsidRPr="00D71E9C">
        <w:rPr>
          <w:rFonts w:ascii="Calibri" w:hAnsi="Calibri" w:cs="Calibri"/>
          <w:snapToGrid w:val="0"/>
          <w:sz w:val="24"/>
          <w:szCs w:val="24"/>
          <w:lang w:val="hr-HR"/>
        </w:rPr>
        <w:t>Maksimalna visina građevine određuje se ovim Planom s dva pokazatelja od kojih oba moraju biti zadovoljena. To su:</w:t>
      </w:r>
    </w:p>
    <w:p w:rsidR="00315132" w:rsidRPr="00D71E9C" w:rsidRDefault="00315132">
      <w:pPr>
        <w:pStyle w:val="janja"/>
        <w:spacing w:after="144"/>
        <w:rPr>
          <w:rFonts w:ascii="Calibri" w:hAnsi="Calibri" w:cs="Calibri"/>
          <w:snapToGrid w:val="0"/>
          <w:sz w:val="24"/>
          <w:szCs w:val="24"/>
          <w:lang w:val="hr-HR"/>
        </w:rPr>
      </w:pPr>
      <w:r w:rsidRPr="00D71E9C">
        <w:rPr>
          <w:rFonts w:ascii="Calibri" w:hAnsi="Calibri" w:cs="Calibri"/>
          <w:snapToGrid w:val="0"/>
          <w:sz w:val="24"/>
          <w:szCs w:val="24"/>
          <w:lang w:val="hr-HR"/>
        </w:rPr>
        <w:lastRenderedPageBreak/>
        <w:t>a) maksimalni broj etaža građevine E i</w:t>
      </w:r>
    </w:p>
    <w:p w:rsidR="00315132" w:rsidRPr="00D71E9C" w:rsidRDefault="00315132">
      <w:pPr>
        <w:pStyle w:val="janja"/>
        <w:spacing w:after="144"/>
        <w:rPr>
          <w:rFonts w:ascii="Calibri" w:hAnsi="Calibri" w:cs="Calibri"/>
          <w:snapToGrid w:val="0"/>
          <w:sz w:val="24"/>
          <w:szCs w:val="24"/>
          <w:lang w:val="hr-HR"/>
        </w:rPr>
      </w:pPr>
      <w:r w:rsidRPr="00D71E9C">
        <w:rPr>
          <w:rFonts w:ascii="Calibri" w:hAnsi="Calibri" w:cs="Calibri"/>
          <w:snapToGrid w:val="0"/>
          <w:sz w:val="24"/>
          <w:szCs w:val="24"/>
          <w:lang w:val="hr-HR"/>
        </w:rPr>
        <w:t>b) maksimalna visina građevine V.</w:t>
      </w:r>
    </w:p>
    <w:p w:rsidR="00315132" w:rsidRPr="00D71E9C" w:rsidRDefault="00315132">
      <w:pPr>
        <w:pStyle w:val="janja"/>
        <w:spacing w:after="144"/>
        <w:rPr>
          <w:rFonts w:ascii="Calibri" w:hAnsi="Calibri" w:cs="Calibri"/>
          <w:sz w:val="24"/>
          <w:szCs w:val="24"/>
          <w:lang w:val="hr-HR"/>
        </w:rPr>
      </w:pPr>
      <w:r w:rsidRPr="00D71E9C">
        <w:rPr>
          <w:rFonts w:ascii="Calibri" w:hAnsi="Calibri" w:cs="Calibri"/>
          <w:sz w:val="24"/>
          <w:szCs w:val="24"/>
          <w:lang w:val="hr-HR"/>
        </w:rPr>
        <w:t>Najveća visina (V) građevine iznosi:</w:t>
      </w:r>
    </w:p>
    <w:p w:rsidR="00315132" w:rsidRPr="00D71E9C" w:rsidRDefault="00315132">
      <w:pPr>
        <w:pStyle w:val="janja"/>
        <w:spacing w:after="144"/>
        <w:rPr>
          <w:rFonts w:ascii="Calibri" w:hAnsi="Calibri" w:cs="Calibri"/>
          <w:sz w:val="24"/>
          <w:szCs w:val="24"/>
          <w:lang w:val="hr-HR"/>
        </w:rPr>
      </w:pPr>
      <w:r w:rsidRPr="00D71E9C">
        <w:rPr>
          <w:rFonts w:ascii="Calibri" w:hAnsi="Calibri" w:cs="Calibri"/>
          <w:sz w:val="24"/>
          <w:szCs w:val="24"/>
          <w:lang w:val="hr-HR"/>
        </w:rPr>
        <w:t xml:space="preserve">prizemnica (P) – 4,0 </w:t>
      </w:r>
      <w:r w:rsidRPr="00EC4B13">
        <w:rPr>
          <w:rFonts w:ascii="Calibri" w:hAnsi="Calibri" w:cs="Calibri"/>
          <w:sz w:val="24"/>
          <w:szCs w:val="24"/>
          <w:lang w:val="hr-HR"/>
        </w:rPr>
        <w:t>m</w:t>
      </w:r>
      <w:r w:rsidR="0051496B" w:rsidRPr="00EC4B13">
        <w:rPr>
          <w:rFonts w:ascii="Calibri" w:hAnsi="Calibri" w:cs="Calibri"/>
          <w:sz w:val="24"/>
          <w:szCs w:val="24"/>
          <w:lang w:val="hr-HR"/>
        </w:rPr>
        <w:t xml:space="preserve"> (za kosi teren 5,0 m)</w:t>
      </w:r>
      <w:r w:rsidRPr="00EC4B13">
        <w:rPr>
          <w:rFonts w:ascii="Calibri" w:hAnsi="Calibri" w:cs="Calibri"/>
          <w:sz w:val="24"/>
          <w:szCs w:val="24"/>
          <w:lang w:val="hr-HR"/>
        </w:rPr>
        <w:t>;</w:t>
      </w:r>
    </w:p>
    <w:p w:rsidR="00315132" w:rsidRPr="00D71E9C" w:rsidRDefault="00315132">
      <w:pPr>
        <w:pStyle w:val="janja"/>
        <w:spacing w:after="144"/>
        <w:rPr>
          <w:rFonts w:ascii="Calibri" w:hAnsi="Calibri" w:cs="Calibri"/>
          <w:sz w:val="24"/>
          <w:szCs w:val="24"/>
          <w:lang w:val="hr-HR"/>
        </w:rPr>
      </w:pPr>
      <w:r w:rsidRPr="00D71E9C">
        <w:rPr>
          <w:rFonts w:ascii="Calibri" w:hAnsi="Calibri" w:cs="Calibri"/>
          <w:sz w:val="24"/>
          <w:szCs w:val="24"/>
          <w:lang w:val="hr-HR"/>
        </w:rPr>
        <w:t xml:space="preserve">katnica (P+1K) – 7,0 </w:t>
      </w:r>
      <w:r w:rsidRPr="00EC4B13">
        <w:rPr>
          <w:rFonts w:ascii="Calibri" w:hAnsi="Calibri" w:cs="Calibri"/>
          <w:sz w:val="24"/>
          <w:szCs w:val="24"/>
          <w:lang w:val="hr-HR"/>
        </w:rPr>
        <w:t>m</w:t>
      </w:r>
      <w:r w:rsidR="0051496B" w:rsidRPr="00EC4B13">
        <w:rPr>
          <w:rFonts w:ascii="Calibri" w:hAnsi="Calibri" w:cs="Calibri"/>
          <w:sz w:val="24"/>
          <w:szCs w:val="24"/>
          <w:lang w:val="hr-HR"/>
        </w:rPr>
        <w:t xml:space="preserve"> (za kosi teren 8,0 m)</w:t>
      </w:r>
      <w:r w:rsidRPr="00EC4B13">
        <w:rPr>
          <w:rFonts w:ascii="Calibri" w:hAnsi="Calibri" w:cs="Calibri"/>
          <w:sz w:val="24"/>
          <w:szCs w:val="24"/>
          <w:lang w:val="hr-HR"/>
        </w:rPr>
        <w:t>;</w:t>
      </w:r>
    </w:p>
    <w:p w:rsidR="00315132" w:rsidRPr="00D71E9C" w:rsidRDefault="00315132">
      <w:pPr>
        <w:pStyle w:val="janja"/>
        <w:spacing w:after="144"/>
        <w:rPr>
          <w:rFonts w:ascii="Calibri" w:hAnsi="Calibri" w:cs="Calibri"/>
          <w:sz w:val="24"/>
          <w:szCs w:val="24"/>
          <w:lang w:val="hr-HR"/>
        </w:rPr>
      </w:pPr>
      <w:r w:rsidRPr="00D71E9C">
        <w:rPr>
          <w:rFonts w:ascii="Calibri" w:hAnsi="Calibri" w:cs="Calibri"/>
          <w:sz w:val="24"/>
          <w:szCs w:val="24"/>
          <w:lang w:val="hr-HR"/>
        </w:rPr>
        <w:t xml:space="preserve">katnica s potkrovljem (P+1K+Pk) – 8,5 </w:t>
      </w:r>
      <w:r w:rsidRPr="00EC4B13">
        <w:rPr>
          <w:rFonts w:ascii="Calibri" w:hAnsi="Calibri" w:cs="Calibri"/>
          <w:sz w:val="24"/>
          <w:szCs w:val="24"/>
          <w:lang w:val="hr-HR"/>
        </w:rPr>
        <w:t>m</w:t>
      </w:r>
      <w:r w:rsidR="0051496B" w:rsidRPr="00EC4B13">
        <w:rPr>
          <w:rFonts w:ascii="Calibri" w:hAnsi="Calibri" w:cs="Calibri"/>
          <w:sz w:val="24"/>
          <w:szCs w:val="24"/>
          <w:lang w:val="hr-HR"/>
        </w:rPr>
        <w:t xml:space="preserve"> (za kosi teren 9,5 m)</w:t>
      </w:r>
      <w:r w:rsidRPr="00EC4B13">
        <w:rPr>
          <w:rFonts w:ascii="Calibri" w:hAnsi="Calibri" w:cs="Calibri"/>
          <w:sz w:val="24"/>
          <w:szCs w:val="24"/>
          <w:lang w:val="hr-HR"/>
        </w:rPr>
        <w:t>;</w:t>
      </w:r>
    </w:p>
    <w:p w:rsidR="0051496B" w:rsidRPr="00EC4B13" w:rsidRDefault="0051496B" w:rsidP="0051496B">
      <w:pPr>
        <w:numPr>
          <w:ilvl w:val="0"/>
          <w:numId w:val="0"/>
        </w:numPr>
        <w:ind w:left="425"/>
        <w:jc w:val="both"/>
        <w:rPr>
          <w:rFonts w:ascii="Calibri" w:hAnsi="Calibri" w:cs="Calibri"/>
          <w:sz w:val="24"/>
          <w:szCs w:val="24"/>
          <w:lang w:val="pt-BR"/>
        </w:rPr>
      </w:pPr>
      <w:r w:rsidRPr="00EC4B13">
        <w:rPr>
          <w:rFonts w:ascii="Calibri" w:hAnsi="Calibri" w:cs="Calibri"/>
          <w:sz w:val="24"/>
          <w:szCs w:val="24"/>
          <w:lang w:val="pt-BR"/>
        </w:rPr>
        <w:t xml:space="preserve">Na ravnom terenu </w:t>
      </w:r>
      <w:r w:rsidRPr="00EC4B13">
        <w:rPr>
          <w:rFonts w:ascii="Calibri" w:hAnsi="Calibri" w:cs="Calibri"/>
          <w:sz w:val="24"/>
          <w:szCs w:val="24"/>
          <w:u w:val="single"/>
          <w:lang w:val="pt-BR"/>
        </w:rPr>
        <w:t>prizemlje</w:t>
      </w:r>
      <w:r w:rsidRPr="00EC4B13">
        <w:rPr>
          <w:rFonts w:ascii="Calibri" w:hAnsi="Calibri" w:cs="Calibri"/>
          <w:sz w:val="24"/>
          <w:szCs w:val="24"/>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70 % vanjskih zidova a na kosom terenu više od 50 %. </w:t>
      </w:r>
    </w:p>
    <w:p w:rsidR="0051496B" w:rsidRPr="00EC4B13" w:rsidRDefault="0051496B" w:rsidP="0051496B">
      <w:pPr>
        <w:numPr>
          <w:ilvl w:val="0"/>
          <w:numId w:val="0"/>
        </w:numPr>
        <w:ind w:left="425"/>
        <w:jc w:val="both"/>
        <w:rPr>
          <w:rFonts w:ascii="Calibri" w:hAnsi="Calibri" w:cs="Calibri"/>
          <w:sz w:val="24"/>
          <w:szCs w:val="24"/>
          <w:lang w:val="pt-BR"/>
        </w:rPr>
      </w:pPr>
    </w:p>
    <w:p w:rsidR="0051496B" w:rsidRPr="00EC4B13" w:rsidRDefault="0051496B" w:rsidP="0051496B">
      <w:pPr>
        <w:pStyle w:val="NoSpacing"/>
        <w:jc w:val="both"/>
        <w:rPr>
          <w:sz w:val="24"/>
          <w:szCs w:val="24"/>
        </w:rPr>
      </w:pPr>
      <w:r w:rsidRPr="00EC4B13">
        <w:rPr>
          <w:sz w:val="24"/>
          <w:szCs w:val="24"/>
        </w:rPr>
        <w:t xml:space="preserve">Vijenac građevine, u smislu ovih odredbi je gornja kota stropne konstrukcije najviše pune etaže građevine. Maksimalni nadozid potkrovlja je 1,2 m i ne može biti veći bez obzira na ukupnu visinu građevine. </w:t>
      </w:r>
    </w:p>
    <w:p w:rsidR="0051496B" w:rsidRPr="0051496B" w:rsidRDefault="0051496B" w:rsidP="0051496B">
      <w:pPr>
        <w:numPr>
          <w:ilvl w:val="0"/>
          <w:numId w:val="0"/>
        </w:numPr>
        <w:ind w:left="425"/>
        <w:jc w:val="both"/>
        <w:rPr>
          <w:rFonts w:ascii="Calibri" w:hAnsi="Calibri" w:cs="Calibri"/>
          <w:color w:val="FF0000"/>
          <w:sz w:val="24"/>
          <w:szCs w:val="24"/>
          <w:lang w:val="pt-BR"/>
        </w:rPr>
      </w:pPr>
    </w:p>
    <w:p w:rsidR="00315132" w:rsidRPr="00D71E9C" w:rsidRDefault="00315132">
      <w:pPr>
        <w:pStyle w:val="janja"/>
        <w:rPr>
          <w:rFonts w:ascii="Calibri" w:hAnsi="Calibri" w:cs="Calibri"/>
          <w:b/>
          <w:sz w:val="24"/>
          <w:szCs w:val="24"/>
          <w:lang w:val="hr-HR"/>
        </w:rPr>
      </w:pPr>
    </w:p>
    <w:p w:rsidR="00315132" w:rsidRPr="0051496B" w:rsidRDefault="00315132">
      <w:pPr>
        <w:pStyle w:val="janja"/>
        <w:rPr>
          <w:rFonts w:ascii="Calibri" w:hAnsi="Calibri" w:cs="Calibri"/>
          <w:b/>
          <w:sz w:val="24"/>
          <w:szCs w:val="24"/>
          <w:lang w:val="hr-HR"/>
        </w:rPr>
      </w:pPr>
      <w:r w:rsidRPr="0051496B">
        <w:rPr>
          <w:rFonts w:ascii="Calibri" w:hAnsi="Calibri" w:cs="Calibri"/>
          <w:b/>
          <w:sz w:val="24"/>
          <w:szCs w:val="24"/>
          <w:lang w:val="hr-HR"/>
        </w:rPr>
        <w:t>Pomoćne građevine</w:t>
      </w:r>
    </w:p>
    <w:p w:rsidR="00315132" w:rsidRDefault="00315132" w:rsidP="00EC4B13">
      <w:pPr>
        <w:pStyle w:val="Caption"/>
        <w:tabs>
          <w:tab w:val="num" w:pos="426"/>
        </w:tabs>
        <w:jc w:val="left"/>
        <w:rPr>
          <w:rFonts w:ascii="Calibri" w:hAnsi="Calibri" w:cs="Calibri"/>
          <w:szCs w:val="24"/>
        </w:rPr>
      </w:pPr>
      <w:r w:rsidRPr="0051496B">
        <w:rPr>
          <w:rFonts w:ascii="Calibri" w:hAnsi="Calibri" w:cs="Calibri"/>
          <w:szCs w:val="24"/>
        </w:rPr>
        <w:t xml:space="preserve">Članak </w:t>
      </w:r>
      <w:r w:rsidR="00D15348" w:rsidRPr="0051496B">
        <w:rPr>
          <w:rFonts w:ascii="Calibri" w:hAnsi="Calibri" w:cs="Calibri"/>
          <w:szCs w:val="24"/>
        </w:rPr>
        <w:fldChar w:fldCharType="begin"/>
      </w:r>
      <w:r w:rsidRPr="0051496B">
        <w:rPr>
          <w:rFonts w:ascii="Calibri" w:hAnsi="Calibri" w:cs="Calibri"/>
          <w:szCs w:val="24"/>
        </w:rPr>
        <w:instrText xml:space="preserve"> SEQ Članak \* ARABIC </w:instrText>
      </w:r>
      <w:r w:rsidR="00D15348" w:rsidRPr="0051496B">
        <w:rPr>
          <w:rFonts w:ascii="Calibri" w:hAnsi="Calibri" w:cs="Calibri"/>
          <w:szCs w:val="24"/>
        </w:rPr>
        <w:fldChar w:fldCharType="separate"/>
      </w:r>
      <w:r w:rsidR="001A3124">
        <w:rPr>
          <w:rFonts w:ascii="Calibri" w:hAnsi="Calibri" w:cs="Calibri"/>
          <w:noProof/>
          <w:szCs w:val="24"/>
        </w:rPr>
        <w:t>12</w:t>
      </w:r>
      <w:r w:rsidR="00D15348" w:rsidRPr="0051496B">
        <w:rPr>
          <w:rFonts w:ascii="Calibri" w:hAnsi="Calibri" w:cs="Calibri"/>
          <w:szCs w:val="24"/>
        </w:rPr>
        <w:fldChar w:fldCharType="end"/>
      </w:r>
      <w:r w:rsidRPr="0051496B">
        <w:rPr>
          <w:rFonts w:ascii="Calibri" w:hAnsi="Calibri" w:cs="Calibri"/>
          <w:szCs w:val="24"/>
        </w:rPr>
        <w:t>.</w:t>
      </w:r>
    </w:p>
    <w:p w:rsidR="00EC4B13" w:rsidRDefault="00EC4B13" w:rsidP="00EC4B13">
      <w:pPr>
        <w:numPr>
          <w:ilvl w:val="0"/>
          <w:numId w:val="0"/>
        </w:numPr>
        <w:rPr>
          <w:lang w:val="hr-HR"/>
        </w:rPr>
      </w:pPr>
    </w:p>
    <w:p w:rsidR="00EC4B13" w:rsidRPr="00BC00CC" w:rsidRDefault="00EC4B13" w:rsidP="00EC4B13">
      <w:pPr>
        <w:numPr>
          <w:ilvl w:val="0"/>
          <w:numId w:val="0"/>
        </w:numPr>
        <w:rPr>
          <w:rFonts w:asciiTheme="minorHAnsi" w:hAnsiTheme="minorHAnsi" w:cstheme="minorHAnsi"/>
          <w:sz w:val="22"/>
          <w:szCs w:val="22"/>
          <w:lang w:val="hr-HR"/>
        </w:rPr>
      </w:pPr>
      <w:r w:rsidRPr="00BC00CC">
        <w:rPr>
          <w:rFonts w:asciiTheme="minorHAnsi" w:hAnsiTheme="minorHAnsi" w:cstheme="minorHAnsi"/>
          <w:sz w:val="22"/>
          <w:szCs w:val="22"/>
          <w:lang w:val="hr-HR"/>
        </w:rPr>
        <w:t>Članak 12. mijenja se i sada glasi:</w:t>
      </w:r>
    </w:p>
    <w:p w:rsidR="00315132" w:rsidRPr="0051496B" w:rsidRDefault="003C2E46">
      <w:pPr>
        <w:pStyle w:val="janja"/>
        <w:spacing w:before="120" w:after="120"/>
        <w:rPr>
          <w:rFonts w:ascii="Calibri" w:hAnsi="Calibri" w:cs="Calibri"/>
          <w:sz w:val="24"/>
          <w:szCs w:val="24"/>
          <w:lang w:val="hr-HR"/>
        </w:rPr>
      </w:pPr>
      <w:r w:rsidRPr="00EC4B13">
        <w:rPr>
          <w:rFonts w:ascii="Calibri" w:hAnsi="Calibri" w:cs="Calibri"/>
          <w:sz w:val="24"/>
          <w:szCs w:val="24"/>
          <w:lang w:val="hr-HR"/>
        </w:rPr>
        <w:t>O</w:t>
      </w:r>
      <w:r w:rsidR="00315132" w:rsidRPr="00EC4B13">
        <w:rPr>
          <w:rFonts w:ascii="Calibri" w:hAnsi="Calibri" w:cs="Calibri"/>
          <w:sz w:val="24"/>
          <w:szCs w:val="24"/>
          <w:lang w:val="hr-HR"/>
        </w:rPr>
        <w:t>mogućava se izgradnja pomoćnih građevina s prostorima za rad i poslovne sadržaje, garaže i druge pomoćne prostorije. Pomoćna građevina je visine najviše jedne etaže maksimalne visine 3,0m</w:t>
      </w:r>
      <w:r w:rsidRPr="00EC4B13">
        <w:rPr>
          <w:rFonts w:ascii="Calibri" w:hAnsi="Calibri" w:cs="Calibri"/>
          <w:sz w:val="24"/>
          <w:szCs w:val="24"/>
        </w:rPr>
        <w:t xml:space="preserve">od najniže kote uređenog terena te uz mogućnost gradnje podruma i ravnog ili jednostrešnog </w:t>
      </w:r>
      <w:r w:rsidR="00467BAF" w:rsidRPr="00EC4B13">
        <w:rPr>
          <w:rFonts w:ascii="Calibri" w:hAnsi="Calibri" w:cs="Calibri"/>
          <w:sz w:val="24"/>
          <w:szCs w:val="24"/>
        </w:rPr>
        <w:t xml:space="preserve">ili višestrešnog </w:t>
      </w:r>
      <w:r w:rsidRPr="00EC4B13">
        <w:rPr>
          <w:rFonts w:ascii="Calibri" w:hAnsi="Calibri" w:cs="Calibri"/>
          <w:sz w:val="24"/>
          <w:szCs w:val="24"/>
        </w:rPr>
        <w:t>krovišta bez nadozida</w:t>
      </w:r>
      <w:r w:rsidR="00315132" w:rsidRPr="00EC4B13">
        <w:rPr>
          <w:rFonts w:ascii="Calibri" w:hAnsi="Calibri" w:cs="Calibri"/>
          <w:sz w:val="24"/>
          <w:szCs w:val="24"/>
          <w:lang w:val="hr-HR"/>
        </w:rPr>
        <w:t>.</w:t>
      </w:r>
      <w:r w:rsidR="00315132" w:rsidRPr="0051496B">
        <w:rPr>
          <w:rFonts w:ascii="Calibri" w:hAnsi="Calibri" w:cs="Calibri"/>
          <w:sz w:val="24"/>
          <w:szCs w:val="24"/>
          <w:lang w:val="hr-HR"/>
        </w:rPr>
        <w:t xml:space="preserve"> Građevni pravac pomoćne građevine je u pravilu iza građevnog pravca osnovne građevine (osim za garaže gdje može biti i drugačije). Pomoćne građevine ulaze u maksimalnu dopuštenu izgrađenost i iskorištenost.</w:t>
      </w:r>
    </w:p>
    <w:p w:rsidR="00315132" w:rsidRPr="00EC4B13" w:rsidRDefault="003C2E46">
      <w:pPr>
        <w:pStyle w:val="janja"/>
        <w:spacing w:after="144"/>
        <w:rPr>
          <w:rFonts w:ascii="Calibri" w:hAnsi="Calibri" w:cs="Calibri"/>
          <w:sz w:val="24"/>
          <w:szCs w:val="24"/>
          <w:lang w:val="hr-HR"/>
        </w:rPr>
      </w:pPr>
      <w:r w:rsidRPr="00EC4B13">
        <w:rPr>
          <w:rFonts w:ascii="Calibri" w:hAnsi="Calibri" w:cs="Calibri"/>
          <w:sz w:val="24"/>
          <w:szCs w:val="24"/>
          <w:lang w:val="hr-HR"/>
        </w:rPr>
        <w:t xml:space="preserve">U slučaju gradnje na česticama  uz </w:t>
      </w:r>
      <w:r w:rsidR="00315132" w:rsidRPr="00EC4B13">
        <w:rPr>
          <w:rFonts w:ascii="Calibri" w:hAnsi="Calibri" w:cs="Calibri"/>
          <w:strike/>
          <w:sz w:val="24"/>
          <w:szCs w:val="24"/>
          <w:lang w:val="hr-HR"/>
        </w:rPr>
        <w:t>sa</w:t>
      </w:r>
      <w:r w:rsidR="00315132" w:rsidRPr="00EC4B13">
        <w:rPr>
          <w:rFonts w:ascii="Calibri" w:hAnsi="Calibri" w:cs="Calibri"/>
          <w:sz w:val="24"/>
          <w:szCs w:val="24"/>
          <w:lang w:val="hr-HR"/>
        </w:rPr>
        <w:t xml:space="preserve"> priobaln</w:t>
      </w:r>
      <w:r w:rsidR="00315132" w:rsidRPr="00EC4B13">
        <w:rPr>
          <w:rFonts w:ascii="Calibri" w:hAnsi="Calibri" w:cs="Calibri"/>
          <w:strike/>
          <w:sz w:val="24"/>
          <w:szCs w:val="24"/>
          <w:lang w:val="hr-HR"/>
        </w:rPr>
        <w:t>e</w:t>
      </w:r>
      <w:r w:rsidRPr="00EC4B13">
        <w:rPr>
          <w:rFonts w:ascii="Calibri" w:hAnsi="Calibri" w:cs="Calibri"/>
          <w:sz w:val="24"/>
          <w:szCs w:val="24"/>
          <w:lang w:val="hr-HR"/>
        </w:rPr>
        <w:t>u</w:t>
      </w:r>
      <w:r w:rsidR="00315132" w:rsidRPr="00EC4B13">
        <w:rPr>
          <w:rFonts w:ascii="Calibri" w:hAnsi="Calibri" w:cs="Calibri"/>
          <w:sz w:val="24"/>
          <w:szCs w:val="24"/>
          <w:lang w:val="hr-HR"/>
        </w:rPr>
        <w:t xml:space="preserve"> šetnic</w:t>
      </w:r>
      <w:r w:rsidR="00315132" w:rsidRPr="00EC4B13">
        <w:rPr>
          <w:rFonts w:ascii="Calibri" w:hAnsi="Calibri" w:cs="Calibri"/>
          <w:strike/>
          <w:sz w:val="24"/>
          <w:szCs w:val="24"/>
          <w:lang w:val="hr-HR"/>
        </w:rPr>
        <w:t>e</w:t>
      </w:r>
      <w:r w:rsidRPr="00EC4B13">
        <w:rPr>
          <w:rFonts w:ascii="Calibri" w:hAnsi="Calibri" w:cs="Calibri"/>
          <w:sz w:val="24"/>
          <w:szCs w:val="24"/>
          <w:lang w:val="hr-HR"/>
        </w:rPr>
        <w:t>u</w:t>
      </w:r>
      <w:r w:rsidR="00315132" w:rsidRPr="00EC4B13">
        <w:rPr>
          <w:rFonts w:ascii="Calibri" w:hAnsi="Calibri" w:cs="Calibri"/>
          <w:sz w:val="24"/>
          <w:szCs w:val="24"/>
          <w:lang w:val="hr-HR"/>
        </w:rPr>
        <w:t xml:space="preserve">, </w:t>
      </w:r>
      <w:r w:rsidRPr="00EC4B13">
        <w:rPr>
          <w:rFonts w:ascii="Calibri" w:hAnsi="Calibri" w:cs="Calibri"/>
          <w:sz w:val="24"/>
          <w:szCs w:val="24"/>
          <w:lang w:val="hr-HR"/>
        </w:rPr>
        <w:t xml:space="preserve">sa sjeverne strane parcela, </w:t>
      </w:r>
      <w:r w:rsidR="00315132" w:rsidRPr="00EC4B13">
        <w:rPr>
          <w:rFonts w:ascii="Calibri" w:hAnsi="Calibri" w:cs="Calibri"/>
          <w:sz w:val="24"/>
          <w:szCs w:val="24"/>
          <w:lang w:val="hr-HR"/>
        </w:rPr>
        <w:t xml:space="preserve">građevni pravac pomoćne građevine mora obavezno biti iza građevnog pravca osnovne građevine. </w:t>
      </w:r>
    </w:p>
    <w:p w:rsidR="003C2E46" w:rsidRPr="00EC4B13" w:rsidRDefault="00315132">
      <w:pPr>
        <w:pStyle w:val="janja"/>
        <w:spacing w:after="144"/>
        <w:rPr>
          <w:rFonts w:ascii="Calibri" w:hAnsi="Calibri" w:cs="Calibri"/>
          <w:sz w:val="24"/>
          <w:szCs w:val="24"/>
          <w:lang w:val="hr-HR"/>
        </w:rPr>
      </w:pPr>
      <w:r w:rsidRPr="00EC4B13">
        <w:rPr>
          <w:rFonts w:ascii="Calibri" w:hAnsi="Calibri" w:cs="Calibri"/>
          <w:sz w:val="24"/>
          <w:szCs w:val="24"/>
          <w:lang w:val="hr-HR"/>
        </w:rPr>
        <w:t xml:space="preserve">U slučaju </w:t>
      </w:r>
      <w:r w:rsidR="003C2E46" w:rsidRPr="00EC4B13">
        <w:rPr>
          <w:rFonts w:ascii="Calibri" w:hAnsi="Calibri" w:cs="Calibri"/>
          <w:sz w:val="24"/>
          <w:szCs w:val="24"/>
        </w:rPr>
        <w:t>kosog terena (nagiba većeg od 15 %) i</w:t>
      </w:r>
      <w:r w:rsidRPr="00EC4B13">
        <w:rPr>
          <w:rFonts w:ascii="Calibri" w:hAnsi="Calibri" w:cs="Calibri"/>
          <w:sz w:val="24"/>
          <w:szCs w:val="24"/>
          <w:lang w:val="hr-HR"/>
        </w:rPr>
        <w:t xml:space="preserve">izgradnje potpornog zida prema ulici kao rezultat rješenja javno prometne površine (visinska razlika terena) ili zatečenog stanja omogućava se gradnja garaža i pomoćnih prostora iza potpornog zida. </w:t>
      </w:r>
    </w:p>
    <w:p w:rsidR="00315132" w:rsidRPr="00EC4B13" w:rsidRDefault="00315132">
      <w:pPr>
        <w:pStyle w:val="janja"/>
        <w:spacing w:after="144"/>
        <w:rPr>
          <w:rFonts w:ascii="Calibri" w:hAnsi="Calibri" w:cs="Calibri"/>
          <w:sz w:val="24"/>
          <w:szCs w:val="24"/>
          <w:lang w:val="hr-HR"/>
        </w:rPr>
      </w:pPr>
      <w:r w:rsidRPr="00EC4B13">
        <w:rPr>
          <w:rFonts w:ascii="Calibri" w:hAnsi="Calibri" w:cs="Calibri"/>
          <w:sz w:val="24"/>
          <w:szCs w:val="24"/>
          <w:lang w:val="hr-HR"/>
        </w:rPr>
        <w:t xml:space="preserve">Ukoliko se gradi garaža njen ulaz mora biti udaljen najmanje 5m od regulacijskog pravca. U ulici ispred potpornog zida </w:t>
      </w:r>
      <w:r w:rsidR="003C2E46" w:rsidRPr="00EC4B13">
        <w:rPr>
          <w:rFonts w:ascii="Calibri" w:hAnsi="Calibri" w:cs="Calibri"/>
          <w:sz w:val="24"/>
          <w:szCs w:val="24"/>
        </w:rPr>
        <w:t>zbog sigurnosti i preglednosti izlaska iz garaže</w:t>
      </w:r>
      <w:r w:rsidRPr="00EC4B13">
        <w:rPr>
          <w:rFonts w:ascii="Calibri" w:hAnsi="Calibri" w:cs="Calibri"/>
          <w:sz w:val="24"/>
          <w:szCs w:val="24"/>
          <w:lang w:val="hr-HR"/>
        </w:rPr>
        <w:t xml:space="preserve">obvezna je minimalna širina nogostupa od </w:t>
      </w:r>
      <w:r w:rsidR="003C2E46" w:rsidRPr="00EC4B13">
        <w:rPr>
          <w:rFonts w:ascii="Calibri" w:hAnsi="Calibri" w:cs="Calibri"/>
          <w:sz w:val="24"/>
          <w:szCs w:val="24"/>
          <w:lang w:val="hr-HR"/>
        </w:rPr>
        <w:t xml:space="preserve">1,5 </w:t>
      </w:r>
      <w:r w:rsidRPr="00EC4B13">
        <w:rPr>
          <w:rFonts w:ascii="Calibri" w:hAnsi="Calibri" w:cs="Calibri"/>
          <w:sz w:val="24"/>
          <w:szCs w:val="24"/>
          <w:lang w:val="hr-HR"/>
        </w:rPr>
        <w:t xml:space="preserve">m. </w:t>
      </w:r>
    </w:p>
    <w:p w:rsidR="00F43A26" w:rsidRDefault="00F43A26">
      <w:pPr>
        <w:pStyle w:val="janja"/>
        <w:spacing w:after="120"/>
        <w:rPr>
          <w:rFonts w:ascii="Calibri" w:hAnsi="Calibri" w:cs="Calibri"/>
          <w:b/>
          <w:sz w:val="24"/>
          <w:szCs w:val="24"/>
          <w:lang w:val="hr-HR"/>
        </w:rPr>
      </w:pPr>
    </w:p>
    <w:p w:rsidR="00315132" w:rsidRPr="00BC00CC" w:rsidRDefault="00315132">
      <w:pPr>
        <w:pStyle w:val="janja"/>
        <w:spacing w:after="120"/>
        <w:rPr>
          <w:rFonts w:ascii="Calibri" w:hAnsi="Calibri" w:cs="Calibri"/>
          <w:b/>
          <w:sz w:val="24"/>
          <w:szCs w:val="24"/>
          <w:lang w:val="hr-HR"/>
        </w:rPr>
      </w:pPr>
      <w:r w:rsidRPr="00BC00CC">
        <w:rPr>
          <w:rFonts w:ascii="Calibri" w:hAnsi="Calibri" w:cs="Calibri"/>
          <w:b/>
          <w:sz w:val="24"/>
          <w:szCs w:val="24"/>
          <w:lang w:val="hr-HR"/>
        </w:rPr>
        <w:t>Pristup građevnoj čestici</w:t>
      </w:r>
    </w:p>
    <w:p w:rsidR="00315132" w:rsidRPr="00BC00CC" w:rsidRDefault="00315132" w:rsidP="00EC4B13">
      <w:pPr>
        <w:pStyle w:val="Caption"/>
        <w:tabs>
          <w:tab w:val="num" w:pos="426"/>
        </w:tabs>
        <w:jc w:val="left"/>
        <w:rPr>
          <w:rFonts w:ascii="Calibri" w:hAnsi="Calibri" w:cs="Calibri"/>
          <w:szCs w:val="24"/>
        </w:rPr>
      </w:pPr>
      <w:r w:rsidRPr="00BC00CC">
        <w:rPr>
          <w:rFonts w:ascii="Calibri" w:hAnsi="Calibri" w:cs="Calibri"/>
          <w:szCs w:val="24"/>
        </w:rPr>
        <w:t xml:space="preserve">Članak </w:t>
      </w:r>
      <w:r w:rsidR="00D15348" w:rsidRPr="00BC00CC">
        <w:rPr>
          <w:rFonts w:ascii="Calibri" w:hAnsi="Calibri" w:cs="Calibri"/>
          <w:szCs w:val="24"/>
        </w:rPr>
        <w:fldChar w:fldCharType="begin"/>
      </w:r>
      <w:r w:rsidRPr="00BC00CC">
        <w:rPr>
          <w:rFonts w:ascii="Calibri" w:hAnsi="Calibri" w:cs="Calibri"/>
          <w:szCs w:val="24"/>
        </w:rPr>
        <w:instrText xml:space="preserve"> SEQ Članak \* ARABIC </w:instrText>
      </w:r>
      <w:r w:rsidR="00D15348" w:rsidRPr="00BC00CC">
        <w:rPr>
          <w:rFonts w:ascii="Calibri" w:hAnsi="Calibri" w:cs="Calibri"/>
          <w:szCs w:val="24"/>
        </w:rPr>
        <w:fldChar w:fldCharType="separate"/>
      </w:r>
      <w:r w:rsidR="001A3124">
        <w:rPr>
          <w:rFonts w:ascii="Calibri" w:hAnsi="Calibri" w:cs="Calibri"/>
          <w:noProof/>
          <w:szCs w:val="24"/>
        </w:rPr>
        <w:t>13</w:t>
      </w:r>
      <w:r w:rsidR="00D15348" w:rsidRPr="00BC00CC">
        <w:rPr>
          <w:rFonts w:ascii="Calibri" w:hAnsi="Calibri" w:cs="Calibri"/>
          <w:szCs w:val="24"/>
        </w:rPr>
        <w:fldChar w:fldCharType="end"/>
      </w:r>
      <w:r w:rsidRPr="00BC00CC">
        <w:rPr>
          <w:rFonts w:ascii="Calibri" w:hAnsi="Calibri" w:cs="Calibri"/>
          <w:szCs w:val="24"/>
        </w:rPr>
        <w:t>.</w:t>
      </w:r>
    </w:p>
    <w:p w:rsidR="00EC4B13" w:rsidRPr="00BC00CC" w:rsidRDefault="00EC4B13" w:rsidP="00EC4B13">
      <w:pPr>
        <w:numPr>
          <w:ilvl w:val="0"/>
          <w:numId w:val="0"/>
        </w:numPr>
        <w:rPr>
          <w:sz w:val="24"/>
          <w:szCs w:val="24"/>
          <w:lang w:val="hr-HR"/>
        </w:rPr>
      </w:pPr>
    </w:p>
    <w:p w:rsidR="00EC4B13" w:rsidRPr="00BC00CC" w:rsidRDefault="00EC4B13" w:rsidP="00EC4B13">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13. mijenja se i sada glasi:</w:t>
      </w:r>
    </w:p>
    <w:p w:rsidR="00315132" w:rsidRPr="00BC00CC" w:rsidRDefault="00315132">
      <w:pPr>
        <w:pStyle w:val="janja"/>
        <w:spacing w:before="120"/>
        <w:rPr>
          <w:rFonts w:ascii="Calibri" w:hAnsi="Calibri" w:cs="Calibri"/>
          <w:sz w:val="24"/>
          <w:szCs w:val="24"/>
          <w:lang w:val="hr-HR"/>
        </w:rPr>
      </w:pPr>
      <w:r w:rsidRPr="00BC00CC">
        <w:rPr>
          <w:rFonts w:ascii="Calibri" w:hAnsi="Calibri" w:cs="Calibri"/>
          <w:sz w:val="24"/>
          <w:szCs w:val="24"/>
          <w:lang w:val="hr-HR"/>
        </w:rPr>
        <w:t xml:space="preserve">Svaka </w:t>
      </w:r>
      <w:r w:rsidR="00B30D4E" w:rsidRPr="00BC00CC">
        <w:rPr>
          <w:rFonts w:ascii="Calibri" w:hAnsi="Calibri" w:cs="Calibri"/>
          <w:sz w:val="24"/>
          <w:szCs w:val="24"/>
          <w:lang w:val="hr-HR"/>
        </w:rPr>
        <w:t>nova formirana</w:t>
      </w:r>
      <w:r w:rsidRPr="00BC00CC">
        <w:rPr>
          <w:rFonts w:ascii="Calibri" w:hAnsi="Calibri" w:cs="Calibri"/>
          <w:sz w:val="24"/>
          <w:szCs w:val="24"/>
          <w:lang w:val="hr-HR"/>
        </w:rPr>
        <w:t>građevna čestica mora imati neposredan pristup s prometne površine.</w:t>
      </w:r>
    </w:p>
    <w:p w:rsidR="00B27EA4" w:rsidRPr="00BC00CC" w:rsidRDefault="00B27EA4" w:rsidP="00B27EA4">
      <w:pPr>
        <w:pStyle w:val="NoSpacing"/>
        <w:jc w:val="both"/>
        <w:rPr>
          <w:rFonts w:cs="Calibri"/>
          <w:sz w:val="24"/>
          <w:szCs w:val="24"/>
        </w:rPr>
      </w:pPr>
      <w:r w:rsidRPr="00BC00CC">
        <w:rPr>
          <w:rFonts w:cs="Calibri"/>
          <w:sz w:val="24"/>
          <w:szCs w:val="24"/>
        </w:rPr>
        <w:t xml:space="preserve">Minimalna širina javno prometne površine je 5,5 m + 1,5 m, </w:t>
      </w:r>
      <w:r w:rsidR="009D5B75" w:rsidRPr="00BC00CC">
        <w:rPr>
          <w:rFonts w:cs="Calibri"/>
          <w:sz w:val="24"/>
          <w:szCs w:val="24"/>
        </w:rPr>
        <w:t xml:space="preserve">4,5 m za kolno pješačke, </w:t>
      </w:r>
      <w:r w:rsidRPr="00BC00CC">
        <w:rPr>
          <w:rFonts w:cs="Calibri"/>
          <w:sz w:val="24"/>
          <w:szCs w:val="24"/>
        </w:rPr>
        <w:t xml:space="preserve">odnosno 3,5 m </w:t>
      </w:r>
      <w:r w:rsidR="009D5B75" w:rsidRPr="00BC00CC">
        <w:rPr>
          <w:rFonts w:cs="Calibri"/>
          <w:sz w:val="24"/>
          <w:szCs w:val="24"/>
        </w:rPr>
        <w:t>ili 3,0 m</w:t>
      </w:r>
      <w:r w:rsidRPr="00BC00CC">
        <w:rPr>
          <w:rFonts w:cs="Calibri"/>
          <w:sz w:val="24"/>
          <w:szCs w:val="24"/>
        </w:rPr>
        <w:t xml:space="preserve"> za jednosmjerne prometnice.</w:t>
      </w:r>
    </w:p>
    <w:p w:rsidR="00B27EA4" w:rsidRPr="00BC00CC" w:rsidRDefault="00B27EA4" w:rsidP="00B27EA4">
      <w:pPr>
        <w:pStyle w:val="NoSpacing"/>
        <w:jc w:val="both"/>
        <w:rPr>
          <w:rFonts w:cs="Calibri"/>
          <w:color w:val="FF0000"/>
          <w:sz w:val="24"/>
          <w:szCs w:val="24"/>
        </w:rPr>
      </w:pPr>
    </w:p>
    <w:p w:rsidR="00B27EA4" w:rsidRPr="00BC00CC" w:rsidRDefault="00B27EA4" w:rsidP="00B27EA4">
      <w:pPr>
        <w:numPr>
          <w:ilvl w:val="0"/>
          <w:numId w:val="0"/>
        </w:numPr>
        <w:tabs>
          <w:tab w:val="left" w:pos="0"/>
        </w:tabs>
        <w:ind w:left="425"/>
        <w:jc w:val="both"/>
        <w:rPr>
          <w:rFonts w:ascii="Calibri" w:hAnsi="Calibri" w:cs="Calibri"/>
          <w:sz w:val="24"/>
          <w:szCs w:val="24"/>
        </w:rPr>
      </w:pPr>
      <w:r w:rsidRPr="00BC00CC">
        <w:rPr>
          <w:rFonts w:ascii="Calibri" w:hAnsi="Calibri" w:cs="Calibri"/>
          <w:sz w:val="24"/>
          <w:szCs w:val="24"/>
        </w:rPr>
        <w:t>U izgrađenim dijelovima građevinskog područja naselja gdje već postoje formirane prometne površine koje nemaju minimalne širine iz stavka 2.ovog članka, a u kojima se odvija kolni promet, moguća je gradnja novih građevina koje imaju kolni pristup s takvih prometnica.</w:t>
      </w:r>
    </w:p>
    <w:p w:rsidR="00B27EA4" w:rsidRPr="00BC00CC" w:rsidRDefault="00B27EA4">
      <w:pPr>
        <w:pStyle w:val="janja"/>
        <w:spacing w:after="144"/>
        <w:rPr>
          <w:rFonts w:ascii="Calibri" w:hAnsi="Calibri" w:cs="Calibri"/>
          <w:strike/>
          <w:sz w:val="24"/>
          <w:szCs w:val="24"/>
          <w:lang w:val="hr-HR"/>
        </w:rPr>
      </w:pPr>
    </w:p>
    <w:p w:rsidR="00315132" w:rsidRPr="00BC00CC" w:rsidRDefault="00315132">
      <w:pPr>
        <w:pStyle w:val="janja"/>
        <w:spacing w:after="120"/>
        <w:rPr>
          <w:rFonts w:ascii="Calibri" w:hAnsi="Calibri" w:cs="Calibri"/>
          <w:sz w:val="24"/>
          <w:szCs w:val="24"/>
          <w:lang w:val="hr-HR"/>
        </w:rPr>
      </w:pPr>
      <w:r w:rsidRPr="00BC00CC">
        <w:rPr>
          <w:rFonts w:ascii="Calibri" w:hAnsi="Calibri" w:cs="Calibri"/>
          <w:sz w:val="24"/>
          <w:szCs w:val="24"/>
          <w:lang w:val="hr-HR"/>
        </w:rPr>
        <w:t>Ako je teren uz granicu čestice na najmanje 2,0 m nižoj visinskoj koti u odnosu na pristupnu prometnu površinu, dopušta se formiranje otvorenog parkirališta uz rub čestice i neposredan pristup tom parkiralištu s javno-prometne površine.</w:t>
      </w:r>
    </w:p>
    <w:p w:rsidR="00315132" w:rsidRDefault="00315132">
      <w:pPr>
        <w:pStyle w:val="janja"/>
        <w:spacing w:after="144"/>
        <w:rPr>
          <w:b/>
          <w:sz w:val="24"/>
          <w:szCs w:val="24"/>
          <w:lang w:val="hr-HR"/>
        </w:rPr>
      </w:pPr>
    </w:p>
    <w:p w:rsidR="00315132" w:rsidRPr="00BC00CC" w:rsidRDefault="00315132">
      <w:pPr>
        <w:pStyle w:val="janja"/>
        <w:spacing w:after="144"/>
        <w:rPr>
          <w:rFonts w:ascii="Calibri" w:hAnsi="Calibri" w:cs="Calibri"/>
          <w:b/>
          <w:sz w:val="24"/>
          <w:szCs w:val="24"/>
          <w:lang w:val="hr-HR"/>
        </w:rPr>
      </w:pPr>
      <w:r w:rsidRPr="00BC00CC">
        <w:rPr>
          <w:rFonts w:ascii="Calibri" w:hAnsi="Calibri" w:cs="Calibri"/>
          <w:b/>
          <w:sz w:val="24"/>
          <w:szCs w:val="24"/>
          <w:lang w:val="hr-HR"/>
        </w:rPr>
        <w:t>Položaj građevina na građevnoj čestici</w:t>
      </w:r>
    </w:p>
    <w:p w:rsidR="00315132" w:rsidRPr="00BC00CC" w:rsidRDefault="00315132">
      <w:pPr>
        <w:pStyle w:val="Caption"/>
        <w:tabs>
          <w:tab w:val="num" w:pos="426"/>
        </w:tabs>
        <w:ind w:left="426"/>
        <w:rPr>
          <w:rFonts w:ascii="Calibri" w:hAnsi="Calibri" w:cs="Calibri"/>
          <w:szCs w:val="24"/>
        </w:rPr>
      </w:pPr>
    </w:p>
    <w:p w:rsidR="00315132" w:rsidRPr="00BC00CC" w:rsidRDefault="00315132" w:rsidP="00975DB4">
      <w:pPr>
        <w:pStyle w:val="Caption"/>
        <w:tabs>
          <w:tab w:val="num" w:pos="426"/>
        </w:tabs>
        <w:jc w:val="left"/>
        <w:rPr>
          <w:rFonts w:ascii="Calibri" w:hAnsi="Calibri" w:cs="Calibri"/>
          <w:szCs w:val="24"/>
        </w:rPr>
      </w:pPr>
      <w:r w:rsidRPr="00BC00CC">
        <w:rPr>
          <w:rFonts w:ascii="Calibri" w:hAnsi="Calibri" w:cs="Calibri"/>
          <w:szCs w:val="24"/>
        </w:rPr>
        <w:t xml:space="preserve">Članak </w:t>
      </w:r>
      <w:r w:rsidR="00D15348" w:rsidRPr="00BC00CC">
        <w:rPr>
          <w:rFonts w:ascii="Calibri" w:hAnsi="Calibri" w:cs="Calibri"/>
          <w:szCs w:val="24"/>
        </w:rPr>
        <w:fldChar w:fldCharType="begin"/>
      </w:r>
      <w:r w:rsidRPr="00BC00CC">
        <w:rPr>
          <w:rFonts w:ascii="Calibri" w:hAnsi="Calibri" w:cs="Calibri"/>
          <w:szCs w:val="24"/>
        </w:rPr>
        <w:instrText xml:space="preserve"> SEQ Članak \* ARABIC </w:instrText>
      </w:r>
      <w:r w:rsidR="00D15348" w:rsidRPr="00BC00CC">
        <w:rPr>
          <w:rFonts w:ascii="Calibri" w:hAnsi="Calibri" w:cs="Calibri"/>
          <w:szCs w:val="24"/>
        </w:rPr>
        <w:fldChar w:fldCharType="separate"/>
      </w:r>
      <w:r w:rsidR="001A3124">
        <w:rPr>
          <w:rFonts w:ascii="Calibri" w:hAnsi="Calibri" w:cs="Calibri"/>
          <w:noProof/>
          <w:szCs w:val="24"/>
        </w:rPr>
        <w:t>14</w:t>
      </w:r>
      <w:r w:rsidR="00D15348" w:rsidRPr="00BC00CC">
        <w:rPr>
          <w:rFonts w:ascii="Calibri" w:hAnsi="Calibri" w:cs="Calibri"/>
          <w:szCs w:val="24"/>
        </w:rPr>
        <w:fldChar w:fldCharType="end"/>
      </w:r>
      <w:r w:rsidRPr="00BC00CC">
        <w:rPr>
          <w:rFonts w:ascii="Calibri" w:hAnsi="Calibri" w:cs="Calibri"/>
          <w:szCs w:val="24"/>
        </w:rPr>
        <w:t>.</w:t>
      </w:r>
    </w:p>
    <w:p w:rsidR="00975DB4" w:rsidRDefault="00975DB4" w:rsidP="00975DB4">
      <w:pPr>
        <w:numPr>
          <w:ilvl w:val="0"/>
          <w:numId w:val="0"/>
        </w:numPr>
        <w:rPr>
          <w:lang w:val="hr-HR"/>
        </w:rPr>
      </w:pPr>
    </w:p>
    <w:p w:rsidR="00975DB4" w:rsidRPr="00BC00CC" w:rsidRDefault="00975DB4" w:rsidP="00975DB4">
      <w:pPr>
        <w:numPr>
          <w:ilvl w:val="0"/>
          <w:numId w:val="0"/>
        </w:numPr>
        <w:rPr>
          <w:rFonts w:asciiTheme="minorHAnsi" w:hAnsiTheme="minorHAnsi" w:cstheme="minorHAnsi"/>
          <w:sz w:val="22"/>
          <w:szCs w:val="22"/>
          <w:lang w:val="hr-HR"/>
        </w:rPr>
      </w:pPr>
      <w:r w:rsidRPr="00BC00CC">
        <w:rPr>
          <w:rFonts w:asciiTheme="minorHAnsi" w:hAnsiTheme="minorHAnsi" w:cstheme="minorHAnsi"/>
          <w:sz w:val="22"/>
          <w:szCs w:val="22"/>
          <w:lang w:val="hr-HR"/>
        </w:rPr>
        <w:t>Članak 14. mijenja se i sada glasi:</w:t>
      </w:r>
    </w:p>
    <w:p w:rsidR="00B27EA4" w:rsidRPr="00AB660A" w:rsidRDefault="00B27EA4">
      <w:pPr>
        <w:pStyle w:val="janja"/>
        <w:spacing w:before="120" w:after="120"/>
        <w:rPr>
          <w:rFonts w:ascii="Calibri" w:hAnsi="Calibri" w:cs="Calibri"/>
          <w:spacing w:val="-4"/>
          <w:sz w:val="24"/>
          <w:szCs w:val="24"/>
          <w:lang w:val="hr-HR"/>
        </w:rPr>
      </w:pPr>
      <w:r w:rsidRPr="00975DB4">
        <w:rPr>
          <w:rFonts w:ascii="Calibri" w:hAnsi="Calibri" w:cs="Calibri"/>
          <w:sz w:val="24"/>
          <w:szCs w:val="24"/>
          <w:lang w:val="hr-HR"/>
        </w:rPr>
        <w:t xml:space="preserve">Na parcelama uz obalnu šetnicu udaljenost nadzemnog dijela osnovne građevine (građevinska linija) </w:t>
      </w:r>
      <w:r w:rsidRPr="00AB660A">
        <w:rPr>
          <w:rFonts w:ascii="Calibri" w:hAnsi="Calibri" w:cs="Calibri"/>
          <w:sz w:val="24"/>
          <w:szCs w:val="24"/>
          <w:lang w:val="hr-HR"/>
        </w:rPr>
        <w:t>od prometne površine iznosi najmanje 20 m za sjevernu stranu, a 5,0 m za sve ostale strane.</w:t>
      </w:r>
    </w:p>
    <w:p w:rsidR="00315132" w:rsidRPr="00AB660A" w:rsidRDefault="00B27EA4">
      <w:pPr>
        <w:pStyle w:val="janja"/>
        <w:spacing w:after="120"/>
        <w:rPr>
          <w:rFonts w:ascii="Calibri" w:hAnsi="Calibri" w:cs="Calibri"/>
          <w:spacing w:val="-4"/>
          <w:sz w:val="24"/>
          <w:szCs w:val="24"/>
          <w:lang w:val="hr-HR"/>
        </w:rPr>
      </w:pPr>
      <w:r w:rsidRPr="00AB660A">
        <w:rPr>
          <w:rFonts w:ascii="Calibri" w:hAnsi="Calibri" w:cs="Calibri"/>
          <w:spacing w:val="-4"/>
          <w:sz w:val="24"/>
          <w:szCs w:val="24"/>
          <w:lang w:val="hr-HR"/>
        </w:rPr>
        <w:t xml:space="preserve">Na parcelama uz obalnu šetnicu, </w:t>
      </w:r>
      <w:r w:rsidR="00315132" w:rsidRPr="00AB660A">
        <w:rPr>
          <w:rFonts w:ascii="Calibri" w:hAnsi="Calibri" w:cs="Calibri"/>
          <w:spacing w:val="-4"/>
          <w:sz w:val="24"/>
          <w:szCs w:val="24"/>
          <w:lang w:val="hr-HR"/>
        </w:rPr>
        <w:t xml:space="preserve">sa sjeverne strane građevnih čestica, sadržaji na otvorenom (bazeni, sportski tereni i sl.) mogu se smjestiti na udaljenosti  od 5,0 m od regulacijske linije. Sa drugih strana moraju biti udaljeni najmanje 3,0 m od regulacijske linije odnosno susjedne čestice. </w:t>
      </w:r>
      <w:r w:rsidR="00315132" w:rsidRPr="00AB660A">
        <w:rPr>
          <w:rFonts w:ascii="Calibri" w:hAnsi="Calibri" w:cs="Calibri"/>
          <w:sz w:val="24"/>
          <w:szCs w:val="24"/>
          <w:lang w:val="hr-HR"/>
        </w:rPr>
        <w:t xml:space="preserve">U </w:t>
      </w:r>
      <w:r w:rsidRPr="00AB660A">
        <w:rPr>
          <w:rFonts w:ascii="Calibri" w:hAnsi="Calibri" w:cs="Calibri"/>
          <w:sz w:val="24"/>
          <w:szCs w:val="24"/>
          <w:lang w:val="hr-HR"/>
        </w:rPr>
        <w:t xml:space="preserve">ostalom dijelu obuhvata Plana </w:t>
      </w:r>
      <w:r w:rsidR="00315132" w:rsidRPr="00AB660A">
        <w:rPr>
          <w:rFonts w:ascii="Calibri" w:hAnsi="Calibri" w:cs="Calibri"/>
          <w:sz w:val="24"/>
          <w:szCs w:val="24"/>
          <w:lang w:val="hr-HR"/>
        </w:rPr>
        <w:t>s</w:t>
      </w:r>
      <w:r w:rsidR="00315132" w:rsidRPr="00AB660A">
        <w:rPr>
          <w:rFonts w:ascii="Calibri" w:hAnsi="Calibri" w:cs="Calibri"/>
          <w:spacing w:val="-4"/>
          <w:sz w:val="24"/>
          <w:szCs w:val="24"/>
          <w:lang w:val="hr-HR"/>
        </w:rPr>
        <w:t>adržaji na otvorenom (bazeni, sportski tereni i sl.) mogu se smjestiti na udaljenosti  od 3,0 m od regulacijske linije odnosno susjedne čestice.</w:t>
      </w:r>
    </w:p>
    <w:p w:rsidR="00315132" w:rsidRPr="00AB660A" w:rsidRDefault="00315132">
      <w:pPr>
        <w:pStyle w:val="janja"/>
        <w:spacing w:after="120"/>
        <w:rPr>
          <w:rFonts w:ascii="Calibri" w:hAnsi="Calibri" w:cs="Calibri"/>
          <w:spacing w:val="-4"/>
          <w:sz w:val="24"/>
          <w:szCs w:val="24"/>
          <w:lang w:val="hr-HR"/>
        </w:rPr>
      </w:pPr>
      <w:r w:rsidRPr="00AB660A">
        <w:rPr>
          <w:rFonts w:ascii="Calibri" w:hAnsi="Calibri" w:cs="Calibri"/>
          <w:sz w:val="24"/>
          <w:szCs w:val="24"/>
          <w:lang w:val="hr-HR"/>
        </w:rPr>
        <w:t xml:space="preserve">U </w:t>
      </w:r>
      <w:r w:rsidR="002D072A" w:rsidRPr="00AB660A">
        <w:rPr>
          <w:rFonts w:ascii="Calibri" w:hAnsi="Calibri" w:cs="Calibri"/>
          <w:sz w:val="24"/>
          <w:szCs w:val="24"/>
          <w:lang w:val="hr-HR"/>
        </w:rPr>
        <w:t xml:space="preserve">ostalim izgrađenim dijelovima unutar obuhvata Plana, </w:t>
      </w:r>
      <w:r w:rsidRPr="00AB660A">
        <w:rPr>
          <w:rFonts w:ascii="Calibri" w:hAnsi="Calibri" w:cs="Calibri"/>
          <w:sz w:val="24"/>
          <w:szCs w:val="24"/>
          <w:lang w:val="hr-HR"/>
        </w:rPr>
        <w:t>zadržavaju se postojeće udaljenosti od prometnih površina odnosno od susjednih čestica.</w:t>
      </w:r>
    </w:p>
    <w:p w:rsidR="002D072A" w:rsidRPr="00AB660A" w:rsidRDefault="002D072A" w:rsidP="002D072A">
      <w:pPr>
        <w:numPr>
          <w:ilvl w:val="0"/>
          <w:numId w:val="0"/>
        </w:numPr>
        <w:tabs>
          <w:tab w:val="left" w:pos="426"/>
        </w:tabs>
        <w:ind w:left="425"/>
        <w:jc w:val="both"/>
        <w:rPr>
          <w:rFonts w:ascii="Calibri" w:hAnsi="Calibri" w:cs="Calibri"/>
          <w:sz w:val="24"/>
          <w:szCs w:val="24"/>
        </w:rPr>
      </w:pPr>
      <w:r w:rsidRPr="00AB660A">
        <w:rPr>
          <w:rFonts w:ascii="Calibri" w:hAnsi="Calibri" w:cs="Calibri"/>
          <w:sz w:val="24"/>
          <w:szCs w:val="24"/>
        </w:rPr>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2D072A" w:rsidRPr="00AB660A" w:rsidRDefault="002D072A" w:rsidP="002D072A">
      <w:pPr>
        <w:numPr>
          <w:ilvl w:val="0"/>
          <w:numId w:val="0"/>
        </w:numPr>
        <w:tabs>
          <w:tab w:val="left" w:pos="426"/>
        </w:tabs>
        <w:ind w:left="425"/>
        <w:jc w:val="both"/>
        <w:rPr>
          <w:rFonts w:ascii="Calibri" w:hAnsi="Calibri" w:cs="Calibri"/>
          <w:sz w:val="24"/>
          <w:szCs w:val="24"/>
        </w:rPr>
      </w:pPr>
    </w:p>
    <w:p w:rsidR="002D072A" w:rsidRPr="00AB660A" w:rsidRDefault="002D072A" w:rsidP="002D072A">
      <w:pPr>
        <w:numPr>
          <w:ilvl w:val="0"/>
          <w:numId w:val="0"/>
        </w:numPr>
        <w:ind w:left="709" w:hanging="284"/>
        <w:jc w:val="both"/>
        <w:rPr>
          <w:rFonts w:ascii="Calibri" w:hAnsi="Calibri" w:cs="Calibri"/>
          <w:sz w:val="24"/>
          <w:szCs w:val="24"/>
        </w:rPr>
      </w:pPr>
      <w:r w:rsidRPr="00AB660A">
        <w:rPr>
          <w:rFonts w:ascii="Calibri" w:hAnsi="Calibri" w:cs="Calibri"/>
          <w:sz w:val="24"/>
          <w:szCs w:val="24"/>
        </w:rPr>
        <w:t>Planirana stambena građevina građena na slobodnostojeći način građenja, mora biti udaljena od susjedne građevne čestice, zavisno od širine parcele, najmanje:</w:t>
      </w:r>
    </w:p>
    <w:p w:rsidR="002D072A" w:rsidRPr="00AB660A" w:rsidRDefault="002D072A" w:rsidP="002D072A">
      <w:pPr>
        <w:numPr>
          <w:ilvl w:val="0"/>
          <w:numId w:val="0"/>
        </w:numPr>
        <w:jc w:val="both"/>
        <w:rPr>
          <w:rFonts w:ascii="Calibri" w:hAnsi="Calibri" w:cs="Calibri"/>
          <w:sz w:val="24"/>
          <w:szCs w:val="24"/>
        </w:rPr>
      </w:pPr>
    </w:p>
    <w:p w:rsidR="002D072A" w:rsidRPr="00AB660A" w:rsidRDefault="002D072A" w:rsidP="002D072A">
      <w:pPr>
        <w:numPr>
          <w:ilvl w:val="0"/>
          <w:numId w:val="0"/>
        </w:numPr>
        <w:ind w:left="709"/>
        <w:jc w:val="both"/>
        <w:rPr>
          <w:rFonts w:ascii="Calibri" w:hAnsi="Calibri" w:cs="Calibri"/>
          <w:sz w:val="24"/>
          <w:szCs w:val="24"/>
        </w:rPr>
      </w:pPr>
      <w:r w:rsidRPr="00AB660A">
        <w:rPr>
          <w:rFonts w:ascii="Calibri" w:hAnsi="Calibri" w:cs="Calibri"/>
          <w:sz w:val="24"/>
          <w:szCs w:val="24"/>
        </w:rPr>
        <w:t>-</w:t>
      </w:r>
      <w:r w:rsidRPr="00AB660A">
        <w:rPr>
          <w:rFonts w:ascii="Calibri" w:hAnsi="Calibri" w:cs="Calibri"/>
          <w:sz w:val="24"/>
          <w:szCs w:val="24"/>
        </w:rPr>
        <w:tab/>
        <w:t>4,0 m za građevinske parcele šire od 20,0 m;</w:t>
      </w:r>
    </w:p>
    <w:p w:rsidR="002D072A" w:rsidRPr="00AB660A" w:rsidRDefault="002D072A" w:rsidP="002D072A">
      <w:pPr>
        <w:numPr>
          <w:ilvl w:val="0"/>
          <w:numId w:val="0"/>
        </w:numPr>
        <w:ind w:left="709"/>
        <w:jc w:val="both"/>
        <w:rPr>
          <w:rFonts w:ascii="Calibri" w:hAnsi="Calibri" w:cs="Calibri"/>
          <w:sz w:val="24"/>
          <w:szCs w:val="24"/>
        </w:rPr>
      </w:pPr>
      <w:r w:rsidRPr="00AB660A">
        <w:rPr>
          <w:rFonts w:ascii="Calibri" w:hAnsi="Calibri" w:cs="Calibri"/>
          <w:sz w:val="24"/>
          <w:szCs w:val="24"/>
        </w:rPr>
        <w:t>-</w:t>
      </w:r>
      <w:r w:rsidRPr="00AB660A">
        <w:rPr>
          <w:rFonts w:ascii="Calibri" w:hAnsi="Calibri" w:cs="Calibri"/>
          <w:sz w:val="24"/>
          <w:szCs w:val="24"/>
        </w:rPr>
        <w:tab/>
        <w:t>3,5 m za građevinske parcele od 14,0 do 20,0 m;</w:t>
      </w:r>
    </w:p>
    <w:p w:rsidR="002D072A" w:rsidRPr="00AB660A" w:rsidRDefault="002D072A" w:rsidP="002D072A">
      <w:pPr>
        <w:numPr>
          <w:ilvl w:val="0"/>
          <w:numId w:val="0"/>
        </w:numPr>
        <w:ind w:left="709"/>
        <w:jc w:val="both"/>
        <w:rPr>
          <w:rFonts w:ascii="Calibri" w:hAnsi="Calibri" w:cs="Calibri"/>
          <w:sz w:val="24"/>
          <w:szCs w:val="24"/>
        </w:rPr>
      </w:pPr>
      <w:r w:rsidRPr="00AB660A">
        <w:rPr>
          <w:rFonts w:ascii="Calibri" w:hAnsi="Calibri" w:cs="Calibri"/>
          <w:sz w:val="24"/>
          <w:szCs w:val="24"/>
        </w:rPr>
        <w:t>-</w:t>
      </w:r>
      <w:r w:rsidRPr="00AB660A">
        <w:rPr>
          <w:rFonts w:ascii="Calibri" w:hAnsi="Calibri" w:cs="Calibri"/>
          <w:sz w:val="24"/>
          <w:szCs w:val="24"/>
        </w:rPr>
        <w:tab/>
        <w:t>3,0 m za građevinske parcele od 12,0 do 14,0 m;</w:t>
      </w:r>
    </w:p>
    <w:p w:rsidR="002D072A" w:rsidRPr="00AB660A" w:rsidRDefault="002D072A" w:rsidP="002D072A">
      <w:pPr>
        <w:numPr>
          <w:ilvl w:val="0"/>
          <w:numId w:val="0"/>
        </w:numPr>
        <w:ind w:left="720"/>
        <w:jc w:val="both"/>
        <w:rPr>
          <w:rFonts w:ascii="Calibri" w:hAnsi="Calibri" w:cs="Calibri"/>
          <w:sz w:val="24"/>
          <w:szCs w:val="24"/>
        </w:rPr>
      </w:pPr>
      <w:r w:rsidRPr="00AB660A">
        <w:rPr>
          <w:rFonts w:ascii="Calibri" w:hAnsi="Calibri" w:cs="Calibri"/>
          <w:sz w:val="24"/>
          <w:szCs w:val="24"/>
        </w:rPr>
        <w:t>-</w:t>
      </w:r>
      <w:r w:rsidRPr="00AB660A">
        <w:rPr>
          <w:rFonts w:ascii="Calibri" w:hAnsi="Calibri" w:cs="Calibri"/>
          <w:sz w:val="24"/>
          <w:szCs w:val="24"/>
        </w:rPr>
        <w:tab/>
        <w:t>3,0 m za građevinske parcele od 8,0 m do 12,0 m, s obvezom vezivanja na jednu stranu (poluugrađeni način);</w:t>
      </w:r>
    </w:p>
    <w:p w:rsidR="002D072A" w:rsidRPr="00AB660A" w:rsidRDefault="002D072A" w:rsidP="002D072A">
      <w:pPr>
        <w:numPr>
          <w:ilvl w:val="0"/>
          <w:numId w:val="0"/>
        </w:numPr>
        <w:ind w:left="720"/>
        <w:jc w:val="both"/>
        <w:rPr>
          <w:rFonts w:ascii="Calibri" w:hAnsi="Calibri" w:cs="Calibri"/>
          <w:sz w:val="24"/>
          <w:szCs w:val="24"/>
        </w:rPr>
      </w:pPr>
      <w:r w:rsidRPr="00AB660A">
        <w:rPr>
          <w:rFonts w:ascii="Calibri" w:hAnsi="Calibri" w:cs="Calibri"/>
          <w:sz w:val="24"/>
          <w:szCs w:val="24"/>
        </w:rPr>
        <w:t>-</w:t>
      </w:r>
      <w:r w:rsidRPr="00AB660A">
        <w:rPr>
          <w:rFonts w:ascii="Calibri" w:hAnsi="Calibri" w:cs="Calibri"/>
          <w:sz w:val="24"/>
          <w:szCs w:val="24"/>
        </w:rPr>
        <w:tab/>
        <w:t>za građevne parcele uže od 6,0 m obvezna je vezana gradnja.</w:t>
      </w:r>
    </w:p>
    <w:p w:rsidR="002D072A" w:rsidRPr="00AB660A" w:rsidRDefault="002D072A" w:rsidP="002D072A">
      <w:pPr>
        <w:numPr>
          <w:ilvl w:val="0"/>
          <w:numId w:val="0"/>
        </w:numPr>
        <w:ind w:left="425"/>
        <w:jc w:val="both"/>
        <w:rPr>
          <w:rFonts w:ascii="Calibri" w:hAnsi="Calibri" w:cs="Calibri"/>
          <w:sz w:val="24"/>
          <w:szCs w:val="24"/>
        </w:rPr>
      </w:pPr>
      <w:r w:rsidRPr="00AB660A">
        <w:rPr>
          <w:rFonts w:ascii="Calibri" w:hAnsi="Calibri" w:cs="Calibri"/>
          <w:sz w:val="24"/>
          <w:szCs w:val="24"/>
        </w:rPr>
        <w:t>Ako se na fasadi zgrade gradi balkon, lođa ili prohodna terasa njihov vanjski rub mora biti udaljen min. 3,0 m od susjedne parcele.</w:t>
      </w:r>
    </w:p>
    <w:p w:rsidR="002D072A" w:rsidRPr="00AB660A" w:rsidRDefault="002D072A" w:rsidP="002D072A">
      <w:pPr>
        <w:pStyle w:val="NoSpacing"/>
        <w:jc w:val="both"/>
        <w:rPr>
          <w:rFonts w:cs="Calibri"/>
          <w:sz w:val="24"/>
          <w:szCs w:val="24"/>
        </w:rPr>
      </w:pPr>
      <w:r w:rsidRPr="00AB660A">
        <w:rPr>
          <w:rFonts w:cs="Calibri"/>
          <w:sz w:val="24"/>
          <w:szCs w:val="24"/>
        </w:rPr>
        <w:t>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3,0m.</w:t>
      </w:r>
    </w:p>
    <w:p w:rsidR="002D072A" w:rsidRPr="002D072A" w:rsidRDefault="002D072A" w:rsidP="002D072A">
      <w:pPr>
        <w:pStyle w:val="NoSpacing"/>
        <w:jc w:val="both"/>
        <w:rPr>
          <w:rFonts w:cs="Calibri"/>
          <w:color w:val="FF0000"/>
          <w:sz w:val="24"/>
          <w:szCs w:val="24"/>
        </w:rPr>
      </w:pPr>
    </w:p>
    <w:p w:rsidR="002D072A" w:rsidRPr="00AB660A" w:rsidRDefault="002D072A" w:rsidP="002D072A">
      <w:pPr>
        <w:numPr>
          <w:ilvl w:val="0"/>
          <w:numId w:val="0"/>
        </w:numPr>
        <w:ind w:left="425"/>
        <w:jc w:val="both"/>
        <w:rPr>
          <w:rFonts w:ascii="Calibri" w:hAnsi="Calibri" w:cs="Calibri"/>
          <w:snapToGrid w:val="0"/>
          <w:sz w:val="24"/>
          <w:szCs w:val="24"/>
        </w:rPr>
      </w:pPr>
      <w:r w:rsidRPr="00AB660A">
        <w:rPr>
          <w:rFonts w:ascii="Calibri" w:hAnsi="Calibri" w:cs="Calibri"/>
          <w:snapToGrid w:val="0"/>
          <w:sz w:val="24"/>
          <w:szCs w:val="24"/>
        </w:rPr>
        <w:lastRenderedPageBreak/>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2D072A" w:rsidRPr="00AB660A" w:rsidRDefault="002D072A" w:rsidP="002D072A">
      <w:pPr>
        <w:numPr>
          <w:ilvl w:val="0"/>
          <w:numId w:val="0"/>
        </w:numPr>
        <w:ind w:left="709" w:hanging="284"/>
        <w:jc w:val="both"/>
        <w:rPr>
          <w:rFonts w:ascii="Calibri" w:hAnsi="Calibri" w:cs="Calibri"/>
          <w:snapToGrid w:val="0"/>
          <w:sz w:val="24"/>
          <w:szCs w:val="24"/>
        </w:rPr>
      </w:pPr>
      <w:r w:rsidRPr="00AB660A">
        <w:rPr>
          <w:rFonts w:ascii="Calibri" w:hAnsi="Calibri" w:cs="Calibri"/>
          <w:snapToGrid w:val="0"/>
          <w:sz w:val="24"/>
          <w:szCs w:val="24"/>
        </w:rPr>
        <w:t xml:space="preserve">Ukoliko je visinska razlika terena na regulacijskom pravcu veća od 2,5 m omogućava se izgradnja pomoćne građevine na regulacijskom pravcu izvedbom podzida. </w:t>
      </w:r>
    </w:p>
    <w:p w:rsidR="00315132" w:rsidRDefault="00315132">
      <w:pPr>
        <w:pStyle w:val="janja"/>
        <w:spacing w:after="144"/>
        <w:rPr>
          <w:rFonts w:ascii="Calibri" w:hAnsi="Calibri" w:cs="Calibri"/>
          <w:b/>
          <w:sz w:val="24"/>
          <w:szCs w:val="24"/>
          <w:lang w:val="hr-HR"/>
        </w:rPr>
      </w:pPr>
    </w:p>
    <w:p w:rsidR="00315132" w:rsidRPr="00C026EB" w:rsidRDefault="00315132">
      <w:pPr>
        <w:pStyle w:val="janja"/>
        <w:spacing w:after="144"/>
        <w:rPr>
          <w:rFonts w:ascii="Calibri" w:hAnsi="Calibri" w:cs="Calibri"/>
          <w:b/>
          <w:sz w:val="24"/>
          <w:szCs w:val="24"/>
          <w:lang w:val="hr-HR"/>
        </w:rPr>
      </w:pPr>
      <w:r w:rsidRPr="00C026EB">
        <w:rPr>
          <w:rFonts w:ascii="Calibri" w:hAnsi="Calibri" w:cs="Calibri"/>
          <w:b/>
          <w:sz w:val="24"/>
          <w:szCs w:val="24"/>
          <w:lang w:val="hr-HR"/>
        </w:rPr>
        <w:t>Parkiranje</w:t>
      </w:r>
    </w:p>
    <w:p w:rsidR="00315132" w:rsidRDefault="00315132" w:rsidP="00AB660A">
      <w:pPr>
        <w:pStyle w:val="Caption"/>
        <w:tabs>
          <w:tab w:val="num" w:pos="426"/>
        </w:tabs>
        <w:jc w:val="left"/>
        <w:rPr>
          <w:rFonts w:ascii="Calibri" w:hAnsi="Calibri" w:cs="Calibri"/>
          <w:szCs w:val="24"/>
        </w:rPr>
      </w:pPr>
      <w:r w:rsidRPr="001F763E">
        <w:rPr>
          <w:rFonts w:ascii="Calibri" w:hAnsi="Calibri" w:cs="Calibri"/>
          <w:szCs w:val="24"/>
        </w:rPr>
        <w:t xml:space="preserve">Članak </w:t>
      </w:r>
      <w:r w:rsidR="00D15348" w:rsidRPr="001F763E">
        <w:rPr>
          <w:rFonts w:ascii="Calibri" w:hAnsi="Calibri" w:cs="Calibri"/>
          <w:szCs w:val="24"/>
        </w:rPr>
        <w:fldChar w:fldCharType="begin"/>
      </w:r>
      <w:r w:rsidRPr="001F763E">
        <w:rPr>
          <w:rFonts w:ascii="Calibri" w:hAnsi="Calibri" w:cs="Calibri"/>
          <w:szCs w:val="24"/>
        </w:rPr>
        <w:instrText xml:space="preserve"> SEQ Članak \* ARABIC </w:instrText>
      </w:r>
      <w:r w:rsidR="00D15348" w:rsidRPr="001F763E">
        <w:rPr>
          <w:rFonts w:ascii="Calibri" w:hAnsi="Calibri" w:cs="Calibri"/>
          <w:szCs w:val="24"/>
        </w:rPr>
        <w:fldChar w:fldCharType="separate"/>
      </w:r>
      <w:r w:rsidR="001A3124">
        <w:rPr>
          <w:rFonts w:ascii="Calibri" w:hAnsi="Calibri" w:cs="Calibri"/>
          <w:noProof/>
          <w:szCs w:val="24"/>
        </w:rPr>
        <w:t>15</w:t>
      </w:r>
      <w:r w:rsidR="00D15348" w:rsidRPr="001F763E">
        <w:rPr>
          <w:rFonts w:ascii="Calibri" w:hAnsi="Calibri" w:cs="Calibri"/>
          <w:szCs w:val="24"/>
        </w:rPr>
        <w:fldChar w:fldCharType="end"/>
      </w:r>
      <w:r w:rsidRPr="001F763E">
        <w:rPr>
          <w:rFonts w:ascii="Calibri" w:hAnsi="Calibri" w:cs="Calibri"/>
          <w:szCs w:val="24"/>
        </w:rPr>
        <w:t>.</w:t>
      </w:r>
    </w:p>
    <w:p w:rsidR="00AB660A" w:rsidRDefault="00AB660A" w:rsidP="00AB660A">
      <w:pPr>
        <w:numPr>
          <w:ilvl w:val="0"/>
          <w:numId w:val="0"/>
        </w:numPr>
        <w:rPr>
          <w:lang w:val="hr-HR"/>
        </w:rPr>
      </w:pPr>
    </w:p>
    <w:p w:rsidR="00AB660A" w:rsidRPr="00BC00CC" w:rsidRDefault="00AB660A" w:rsidP="00AB660A">
      <w:pPr>
        <w:numPr>
          <w:ilvl w:val="0"/>
          <w:numId w:val="0"/>
        </w:numPr>
        <w:rPr>
          <w:rFonts w:asciiTheme="minorHAnsi" w:hAnsiTheme="minorHAnsi" w:cstheme="minorHAnsi"/>
          <w:sz w:val="22"/>
          <w:szCs w:val="22"/>
          <w:lang w:val="hr-HR"/>
        </w:rPr>
      </w:pPr>
      <w:r w:rsidRPr="00BC00CC">
        <w:rPr>
          <w:rFonts w:asciiTheme="minorHAnsi" w:hAnsiTheme="minorHAnsi" w:cstheme="minorHAnsi"/>
          <w:sz w:val="22"/>
          <w:szCs w:val="22"/>
          <w:lang w:val="hr-HR"/>
        </w:rPr>
        <w:t>Članak 15. mijenja se i sada glasi:</w:t>
      </w:r>
    </w:p>
    <w:p w:rsidR="00315132" w:rsidRPr="00DA6937" w:rsidRDefault="00315132">
      <w:pPr>
        <w:pStyle w:val="janja"/>
        <w:spacing w:before="120" w:after="240"/>
        <w:rPr>
          <w:rFonts w:ascii="Calibri" w:hAnsi="Calibri" w:cs="Calibri"/>
          <w:sz w:val="24"/>
          <w:szCs w:val="24"/>
          <w:lang w:val="hr-HR"/>
        </w:rPr>
      </w:pPr>
      <w:r w:rsidRPr="00DA6937">
        <w:rPr>
          <w:rFonts w:ascii="Calibri" w:hAnsi="Calibri" w:cs="Calibri"/>
          <w:snapToGrid w:val="0"/>
          <w:sz w:val="24"/>
          <w:szCs w:val="24"/>
          <w:lang w:val="hr-HR"/>
        </w:rPr>
        <w:t>Obvezan minimalni broj parkirališnih ili garažnih mjesta koja je potrebno osigurati na građevnoj</w:t>
      </w:r>
      <w:r w:rsidRPr="00DA6937">
        <w:rPr>
          <w:rFonts w:ascii="Calibri" w:hAnsi="Calibri" w:cs="Calibri"/>
          <w:sz w:val="24"/>
          <w:szCs w:val="24"/>
          <w:lang w:val="hr-HR"/>
        </w:rPr>
        <w:t xml:space="preserve"> čestici utvrđuje se na 100m</w:t>
      </w:r>
      <w:r w:rsidRPr="00DA6937">
        <w:rPr>
          <w:rFonts w:ascii="Calibri" w:hAnsi="Calibri" w:cs="Calibri"/>
          <w:sz w:val="24"/>
          <w:szCs w:val="24"/>
          <w:vertAlign w:val="superscript"/>
          <w:lang w:val="hr-HR"/>
        </w:rPr>
        <w:t xml:space="preserve">2  </w:t>
      </w:r>
      <w:r w:rsidRPr="00DA6937">
        <w:rPr>
          <w:rFonts w:ascii="Calibri" w:hAnsi="Calibri" w:cs="Calibri"/>
          <w:sz w:val="24"/>
          <w:szCs w:val="24"/>
          <w:lang w:val="hr-HR"/>
        </w:rPr>
        <w:t>građevinske bruto površine (bez površina unutar građevina namijenjenih smještaju vozila u mirovanju te suterenskih i podrumskih dijelova koji nisu namijenjeni za boravak ljudi), ovisno o namjeni prostora u građevini:</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670"/>
        <w:gridCol w:w="2694"/>
      </w:tblGrid>
      <w:tr w:rsidR="00315132">
        <w:trPr>
          <w:cantSplit/>
          <w:trHeight w:val="871"/>
        </w:trPr>
        <w:tc>
          <w:tcPr>
            <w:tcW w:w="5670" w:type="dxa"/>
          </w:tcPr>
          <w:p w:rsidR="00315132" w:rsidRDefault="00315132">
            <w:pPr>
              <w:pStyle w:val="janja"/>
              <w:spacing w:after="144"/>
              <w:rPr>
                <w:lang w:val="hr-HR"/>
              </w:rPr>
            </w:pPr>
            <w:r>
              <w:rPr>
                <w:lang w:val="hr-HR"/>
              </w:rPr>
              <w:t xml:space="preserve">namjena </w:t>
            </w:r>
          </w:p>
        </w:tc>
        <w:tc>
          <w:tcPr>
            <w:tcW w:w="2694" w:type="dxa"/>
          </w:tcPr>
          <w:p w:rsidR="00315132" w:rsidRDefault="00315132">
            <w:pPr>
              <w:pStyle w:val="janja"/>
              <w:spacing w:after="144"/>
              <w:rPr>
                <w:lang w:val="hr-HR"/>
              </w:rPr>
            </w:pPr>
            <w:r>
              <w:rPr>
                <w:lang w:val="hr-HR"/>
              </w:rPr>
              <w:t>potreban broj PGM na 100m</w:t>
            </w:r>
            <w:r>
              <w:rPr>
                <w:vertAlign w:val="superscript"/>
                <w:lang w:val="hr-HR"/>
              </w:rPr>
              <w:t>2</w:t>
            </w:r>
            <w:r>
              <w:rPr>
                <w:lang w:val="hr-HR"/>
              </w:rPr>
              <w:t xml:space="preserve"> GPb</w:t>
            </w:r>
          </w:p>
        </w:tc>
      </w:tr>
      <w:tr w:rsidR="00315132">
        <w:trPr>
          <w:cantSplit/>
        </w:trPr>
        <w:tc>
          <w:tcPr>
            <w:tcW w:w="5670" w:type="dxa"/>
          </w:tcPr>
          <w:p w:rsidR="00315132" w:rsidRDefault="00315132">
            <w:pPr>
              <w:pStyle w:val="janja"/>
              <w:spacing w:after="144"/>
              <w:rPr>
                <w:lang w:val="hr-HR"/>
              </w:rPr>
            </w:pPr>
            <w:r>
              <w:rPr>
                <w:lang w:val="hr-HR"/>
              </w:rPr>
              <w:t>ugostiteljsko turistička, restoran, kavana, caffe</w:t>
            </w:r>
          </w:p>
        </w:tc>
        <w:tc>
          <w:tcPr>
            <w:tcW w:w="2694" w:type="dxa"/>
          </w:tcPr>
          <w:p w:rsidR="00315132" w:rsidRDefault="00315132">
            <w:pPr>
              <w:pStyle w:val="janja"/>
              <w:spacing w:after="144"/>
              <w:rPr>
                <w:lang w:val="hr-HR"/>
              </w:rPr>
            </w:pPr>
            <w:r>
              <w:rPr>
                <w:lang w:val="hr-HR"/>
              </w:rPr>
              <w:t>3</w:t>
            </w:r>
          </w:p>
        </w:tc>
      </w:tr>
      <w:tr w:rsidR="00315132">
        <w:trPr>
          <w:cantSplit/>
        </w:trPr>
        <w:tc>
          <w:tcPr>
            <w:tcW w:w="5670" w:type="dxa"/>
          </w:tcPr>
          <w:p w:rsidR="00315132" w:rsidRDefault="00315132">
            <w:pPr>
              <w:pStyle w:val="janja"/>
              <w:spacing w:after="144"/>
              <w:rPr>
                <w:lang w:val="hr-HR"/>
              </w:rPr>
            </w:pPr>
            <w:r>
              <w:rPr>
                <w:lang w:val="hr-HR"/>
              </w:rPr>
              <w:t xml:space="preserve">ugostiteljsko turistička, hotel, pansion, apartmani </w:t>
            </w:r>
          </w:p>
        </w:tc>
        <w:tc>
          <w:tcPr>
            <w:tcW w:w="2694" w:type="dxa"/>
          </w:tcPr>
          <w:p w:rsidR="00315132" w:rsidRDefault="00315132">
            <w:pPr>
              <w:pStyle w:val="janja"/>
              <w:spacing w:after="144"/>
              <w:rPr>
                <w:lang w:val="hr-HR"/>
              </w:rPr>
            </w:pPr>
            <w:r>
              <w:rPr>
                <w:lang w:val="hr-HR"/>
              </w:rPr>
              <w:t>2</w:t>
            </w:r>
          </w:p>
        </w:tc>
      </w:tr>
    </w:tbl>
    <w:p w:rsidR="00315132" w:rsidRDefault="00315132">
      <w:pPr>
        <w:pStyle w:val="janja"/>
        <w:spacing w:after="144"/>
        <w:rPr>
          <w:lang w:val="hr-HR"/>
        </w:rPr>
      </w:pPr>
    </w:p>
    <w:p w:rsidR="00C026EB" w:rsidRPr="00AB660A" w:rsidRDefault="00C026EB" w:rsidP="00C026EB">
      <w:pPr>
        <w:pStyle w:val="BodyText"/>
        <w:jc w:val="both"/>
        <w:rPr>
          <w:rFonts w:ascii="Calibri" w:hAnsi="Calibri" w:cs="Calibri"/>
          <w:sz w:val="22"/>
        </w:rPr>
      </w:pPr>
      <w:r w:rsidRPr="00AB660A">
        <w:rPr>
          <w:rFonts w:ascii="Calibri" w:hAnsi="Calibri" w:cs="Calibri"/>
          <w:sz w:val="22"/>
        </w:rPr>
        <w:t>Za obiteljske kuće i višestambene građevine određuje se broj parkirališnih  mjesta na način da se mora izgraditi jedno parkirališno mjesto više od ukupnog broja stambenih jedinica.</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Za građevine sa dijelom građevine namijenjenim turističko-ugostiteljskim sadržajima obvezan minimalni broj parkirališnih ili garažnih mjesta zasebno se računa za turističko-ugostiteljske sadržaje po normativu iz tablice.</w:t>
      </w:r>
    </w:p>
    <w:p w:rsidR="00315132" w:rsidRPr="00C026EB" w:rsidRDefault="00315132">
      <w:pPr>
        <w:pStyle w:val="janja"/>
        <w:spacing w:after="120"/>
        <w:rPr>
          <w:rFonts w:ascii="Calibri" w:hAnsi="Calibri" w:cs="Calibri"/>
          <w:color w:val="FF0000"/>
          <w:sz w:val="24"/>
          <w:szCs w:val="24"/>
          <w:lang w:val="hr-HR"/>
        </w:rPr>
      </w:pPr>
      <w:r w:rsidRPr="00C026EB">
        <w:rPr>
          <w:rFonts w:ascii="Calibri" w:hAnsi="Calibri" w:cs="Calibri"/>
          <w:sz w:val="24"/>
          <w:szCs w:val="24"/>
          <w:lang w:val="hr-HR"/>
        </w:rPr>
        <w:t xml:space="preserve">Dopušta se odstupanje od gornjih normativa za izgrađena područja unutar obuhvata Plana. Moguće je na građevnoj čestici smjestiti minimalno 50% od traženog broja vozila, uz uvjet plaćanja određene naknade, </w:t>
      </w:r>
      <w:r w:rsidR="00C026EB" w:rsidRPr="00AB660A">
        <w:rPr>
          <w:rFonts w:ascii="Calibri" w:hAnsi="Calibri" w:cs="Calibri"/>
          <w:sz w:val="24"/>
          <w:szCs w:val="24"/>
        </w:rPr>
        <w:t>utvrđene odgovarajućom odlukom Općine Sutivan</w:t>
      </w:r>
      <w:r w:rsidRPr="00AB660A">
        <w:rPr>
          <w:rFonts w:ascii="Calibri" w:hAnsi="Calibri" w:cs="Calibri"/>
          <w:sz w:val="24"/>
          <w:szCs w:val="24"/>
          <w:lang w:val="hr-HR"/>
        </w:rPr>
        <w:t>.</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 xml:space="preserve">Smještaj ovako izračunatog broja vozila u mirovanju preporuča se riješiti u garažnom prostoru u podzemnom dijelu građevina ili u prizemnom dijelu građevine u okviru njenih osnovnih gabarita. </w:t>
      </w:r>
    </w:p>
    <w:p w:rsidR="00315132" w:rsidRPr="00C026EB" w:rsidRDefault="00315132">
      <w:pPr>
        <w:pStyle w:val="janja"/>
        <w:spacing w:after="120"/>
        <w:rPr>
          <w:rFonts w:ascii="Calibri" w:hAnsi="Calibri" w:cs="Calibri"/>
          <w:spacing w:val="-4"/>
          <w:sz w:val="24"/>
          <w:szCs w:val="24"/>
          <w:lang w:val="hr-HR"/>
        </w:rPr>
      </w:pPr>
      <w:r w:rsidRPr="00C026EB">
        <w:rPr>
          <w:rFonts w:ascii="Calibri" w:hAnsi="Calibri" w:cs="Calibri"/>
          <w:spacing w:val="-4"/>
          <w:sz w:val="24"/>
          <w:szCs w:val="24"/>
          <w:lang w:val="hr-HR"/>
        </w:rPr>
        <w:t>Garaža može biti i zasebna pomoćna građevina. Garaža može biti smještena i uz granicu susjedne čestice ako ne ugrožava uvjete stanovanja i korištenja susjedne čestice (</w:t>
      </w:r>
      <w:r w:rsidRPr="00C026EB">
        <w:rPr>
          <w:rFonts w:ascii="Calibri" w:hAnsi="Calibri" w:cs="Calibri"/>
          <w:strike/>
          <w:spacing w:val="-4"/>
          <w:sz w:val="24"/>
          <w:szCs w:val="24"/>
          <w:lang w:val="hr-HR"/>
        </w:rPr>
        <w:t>ovo se dokazuje suglasnošću susjeda</w:t>
      </w:r>
      <w:r w:rsidRPr="00C026EB">
        <w:rPr>
          <w:rFonts w:ascii="Calibri" w:hAnsi="Calibri" w:cs="Calibri"/>
          <w:spacing w:val="-4"/>
          <w:sz w:val="24"/>
          <w:szCs w:val="24"/>
          <w:lang w:val="hr-HR"/>
        </w:rPr>
        <w:t xml:space="preserve">). </w:t>
      </w:r>
      <w:r w:rsidRPr="00C026EB">
        <w:rPr>
          <w:rFonts w:ascii="Calibri" w:hAnsi="Calibri" w:cs="Calibri"/>
          <w:sz w:val="24"/>
          <w:szCs w:val="24"/>
          <w:lang w:val="hr-HR"/>
        </w:rPr>
        <w:t xml:space="preserve">Maksimalna visina slobodnostojeće garaže je 3,0 m. </w:t>
      </w:r>
      <w:r w:rsidRPr="00C026EB">
        <w:rPr>
          <w:rFonts w:ascii="Calibri" w:hAnsi="Calibri" w:cs="Calibri"/>
          <w:spacing w:val="-4"/>
          <w:sz w:val="24"/>
          <w:szCs w:val="24"/>
          <w:lang w:val="hr-HR"/>
        </w:rPr>
        <w:t xml:space="preserve">Svojim položajem garaža ne smije ugrožavati sigurnost odvijanja prometa. </w:t>
      </w:r>
    </w:p>
    <w:p w:rsidR="00315132" w:rsidRPr="00C026EB" w:rsidRDefault="00315132">
      <w:pPr>
        <w:pStyle w:val="Caption"/>
        <w:tabs>
          <w:tab w:val="num" w:pos="426"/>
        </w:tabs>
        <w:ind w:left="426"/>
        <w:rPr>
          <w:rFonts w:ascii="Calibri" w:hAnsi="Calibri" w:cs="Calibri"/>
          <w:szCs w:val="24"/>
        </w:rPr>
      </w:pPr>
    </w:p>
    <w:p w:rsidR="00315132" w:rsidRPr="00C026EB" w:rsidRDefault="00315132">
      <w:pPr>
        <w:pStyle w:val="janja"/>
        <w:spacing w:after="144"/>
        <w:rPr>
          <w:rFonts w:ascii="Calibri" w:hAnsi="Calibri" w:cs="Calibri"/>
          <w:b/>
          <w:sz w:val="24"/>
          <w:szCs w:val="24"/>
          <w:lang w:val="hr-HR"/>
        </w:rPr>
      </w:pPr>
      <w:r w:rsidRPr="00C026EB">
        <w:rPr>
          <w:rFonts w:ascii="Calibri" w:hAnsi="Calibri" w:cs="Calibri"/>
          <w:b/>
          <w:sz w:val="24"/>
          <w:szCs w:val="24"/>
          <w:lang w:val="hr-HR"/>
        </w:rPr>
        <w:t>Oblikovanje građevina i uređenje građevne čestice</w:t>
      </w:r>
    </w:p>
    <w:p w:rsidR="00315132" w:rsidRDefault="00315132">
      <w:pPr>
        <w:pStyle w:val="Caption"/>
        <w:tabs>
          <w:tab w:val="num" w:pos="426"/>
        </w:tabs>
        <w:ind w:left="426"/>
        <w:rPr>
          <w:sz w:val="22"/>
        </w:rPr>
      </w:pPr>
    </w:p>
    <w:p w:rsidR="00315132" w:rsidRDefault="00315132" w:rsidP="007A1002">
      <w:pPr>
        <w:pStyle w:val="Caption"/>
        <w:tabs>
          <w:tab w:val="num" w:pos="426"/>
        </w:tabs>
        <w:jc w:val="left"/>
        <w:rPr>
          <w:rFonts w:ascii="Calibri" w:hAnsi="Calibri" w:cs="Calibri"/>
          <w:szCs w:val="24"/>
        </w:rPr>
      </w:pPr>
      <w:r w:rsidRPr="00C026EB">
        <w:rPr>
          <w:rFonts w:ascii="Calibri" w:hAnsi="Calibri" w:cs="Calibri"/>
          <w:szCs w:val="24"/>
        </w:rPr>
        <w:t xml:space="preserve">Članak </w:t>
      </w:r>
      <w:r w:rsidR="00D15348" w:rsidRPr="00C026EB">
        <w:rPr>
          <w:rFonts w:ascii="Calibri" w:hAnsi="Calibri" w:cs="Calibri"/>
          <w:szCs w:val="24"/>
        </w:rPr>
        <w:fldChar w:fldCharType="begin"/>
      </w:r>
      <w:r w:rsidRPr="00C026EB">
        <w:rPr>
          <w:rFonts w:ascii="Calibri" w:hAnsi="Calibri" w:cs="Calibri"/>
          <w:szCs w:val="24"/>
        </w:rPr>
        <w:instrText xml:space="preserve"> SEQ Članak \* ARABIC </w:instrText>
      </w:r>
      <w:r w:rsidR="00D15348" w:rsidRPr="00C026EB">
        <w:rPr>
          <w:rFonts w:ascii="Calibri" w:hAnsi="Calibri" w:cs="Calibri"/>
          <w:szCs w:val="24"/>
        </w:rPr>
        <w:fldChar w:fldCharType="separate"/>
      </w:r>
      <w:r w:rsidR="001A3124">
        <w:rPr>
          <w:rFonts w:ascii="Calibri" w:hAnsi="Calibri" w:cs="Calibri"/>
          <w:noProof/>
          <w:szCs w:val="24"/>
        </w:rPr>
        <w:t>16</w:t>
      </w:r>
      <w:r w:rsidR="00D15348" w:rsidRPr="00C026EB">
        <w:rPr>
          <w:rFonts w:ascii="Calibri" w:hAnsi="Calibri" w:cs="Calibri"/>
          <w:szCs w:val="24"/>
        </w:rPr>
        <w:fldChar w:fldCharType="end"/>
      </w:r>
      <w:r w:rsidRPr="00C026EB">
        <w:rPr>
          <w:rFonts w:ascii="Calibri" w:hAnsi="Calibri" w:cs="Calibri"/>
          <w:szCs w:val="24"/>
        </w:rPr>
        <w:t>.</w:t>
      </w:r>
    </w:p>
    <w:p w:rsidR="007A1002" w:rsidRDefault="007A1002" w:rsidP="007A1002">
      <w:pPr>
        <w:numPr>
          <w:ilvl w:val="0"/>
          <w:numId w:val="0"/>
        </w:numPr>
        <w:rPr>
          <w:lang w:val="hr-HR"/>
        </w:rPr>
      </w:pPr>
    </w:p>
    <w:p w:rsidR="007A1002" w:rsidRPr="00BC00CC" w:rsidRDefault="007A1002" w:rsidP="007A1002">
      <w:pPr>
        <w:numPr>
          <w:ilvl w:val="0"/>
          <w:numId w:val="0"/>
        </w:numPr>
        <w:rPr>
          <w:rFonts w:asciiTheme="minorHAnsi" w:hAnsiTheme="minorHAnsi" w:cstheme="minorHAnsi"/>
          <w:sz w:val="22"/>
          <w:szCs w:val="22"/>
          <w:lang w:val="hr-HR"/>
        </w:rPr>
      </w:pPr>
      <w:r w:rsidRPr="00BC00CC">
        <w:rPr>
          <w:rFonts w:asciiTheme="minorHAnsi" w:hAnsiTheme="minorHAnsi" w:cstheme="minorHAnsi"/>
          <w:sz w:val="22"/>
          <w:szCs w:val="22"/>
          <w:lang w:val="hr-HR"/>
        </w:rPr>
        <w:t>Članak 16. mijenja se i sada glasi:</w:t>
      </w:r>
    </w:p>
    <w:p w:rsidR="00C026EB" w:rsidRPr="007A1002" w:rsidRDefault="00C026EB" w:rsidP="00C026EB">
      <w:pPr>
        <w:pStyle w:val="BodyText"/>
        <w:jc w:val="both"/>
        <w:rPr>
          <w:rFonts w:ascii="Calibri" w:hAnsi="Calibri" w:cs="Calibri"/>
          <w:sz w:val="22"/>
          <w:szCs w:val="22"/>
        </w:rPr>
      </w:pPr>
      <w:r w:rsidRPr="007A1002">
        <w:rPr>
          <w:rFonts w:ascii="Calibri" w:hAnsi="Calibri" w:cs="Calibri"/>
          <w:sz w:val="22"/>
          <w:szCs w:val="22"/>
        </w:rPr>
        <w:lastRenderedPageBreak/>
        <w:t>Kao način tumačenja i mjera preventivne zaštite ambijentalnih vrijednosti sredine, određuju se kao tradicionalni i time nesporni u primjeni slijedeći oblici, mjere i postupci oblikovanja objekata i njihovih detalja:</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organsko jedinstvo kuće od temelja, preko zida pa do krova, od jednostavnih pačetvorinastih tlocrta s krovom na dvije vode, do razvedenih oblika nastalih spajanjem osnovnih dijelova u složenu i skladnu cjelinu;</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puna tektonska struktura jasnih bridova i punih zatvorenih ploha;</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krov koji je logično povezan s tlocrtnom dispozicijom zgrade i strukturnom povezanosti te zgrade sa susjednim objektima bez «krovnih terasa»;</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ujednačen nagib krovišta koji se na cijelom otoku kreće između 23</w:t>
      </w:r>
      <w:r w:rsidRPr="007A1002">
        <w:rPr>
          <w:rFonts w:ascii="Calibri" w:hAnsi="Calibri" w:cs="Calibri"/>
          <w:sz w:val="22"/>
          <w:szCs w:val="22"/>
          <w:vertAlign w:val="superscript"/>
        </w:rPr>
        <w:t>0</w:t>
      </w:r>
      <w:r w:rsidRPr="007A1002">
        <w:rPr>
          <w:rFonts w:ascii="Calibri" w:hAnsi="Calibri" w:cs="Calibri"/>
          <w:sz w:val="22"/>
          <w:szCs w:val="22"/>
        </w:rPr>
        <w:t xml:space="preserve"> i 35</w:t>
      </w:r>
      <w:r w:rsidRPr="007A1002">
        <w:rPr>
          <w:rFonts w:ascii="Calibri" w:hAnsi="Calibri" w:cs="Calibri"/>
          <w:sz w:val="22"/>
          <w:szCs w:val="22"/>
          <w:vertAlign w:val="superscript"/>
        </w:rPr>
        <w:t>0</w:t>
      </w:r>
      <w:r w:rsidRPr="007A1002">
        <w:rPr>
          <w:rFonts w:ascii="Calibri" w:hAnsi="Calibri" w:cs="Calibri"/>
          <w:sz w:val="22"/>
          <w:szCs w:val="22"/>
        </w:rPr>
        <w:t xml:space="preserve"> odnosno 60 – 70 % a u starim sklopovima 45</w:t>
      </w:r>
      <w:r w:rsidRPr="007A1002">
        <w:rPr>
          <w:rFonts w:ascii="Calibri" w:hAnsi="Calibri" w:cs="Calibri"/>
          <w:sz w:val="22"/>
          <w:szCs w:val="22"/>
          <w:vertAlign w:val="superscript"/>
        </w:rPr>
        <w:t xml:space="preserve">0 </w:t>
      </w:r>
      <w:r w:rsidRPr="007A1002">
        <w:rPr>
          <w:rFonts w:ascii="Calibri" w:hAnsi="Calibri" w:cs="Calibri"/>
          <w:sz w:val="22"/>
          <w:szCs w:val="22"/>
        </w:rPr>
        <w:t>;</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mali istaci krovnih streha, na vodoravnoj strehi 15–20 cm, na kosoj strehi odnosno učelcima 0-15 cm;</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kosi podgled vodoravne strehe</w:t>
      </w:r>
    </w:p>
    <w:p w:rsidR="00C026EB" w:rsidRPr="007A1002" w:rsidRDefault="00C026EB" w:rsidP="00C026EB">
      <w:pPr>
        <w:pStyle w:val="BodyText"/>
        <w:numPr>
          <w:ilvl w:val="1"/>
          <w:numId w:val="31"/>
        </w:numPr>
        <w:tabs>
          <w:tab w:val="clear" w:pos="284"/>
        </w:tabs>
        <w:spacing w:before="0" w:after="0"/>
        <w:jc w:val="both"/>
        <w:rPr>
          <w:rFonts w:ascii="Calibri" w:hAnsi="Calibri" w:cs="Calibri"/>
          <w:sz w:val="22"/>
          <w:szCs w:val="22"/>
        </w:rPr>
      </w:pPr>
      <w:r w:rsidRPr="007A1002">
        <w:rPr>
          <w:rFonts w:ascii="Calibri" w:hAnsi="Calibri" w:cs="Calibri"/>
          <w:sz w:val="22"/>
          <w:szCs w:val="22"/>
        </w:rPr>
        <w:t>zakrivljeni prijelaz nagiba krovne plohe na blaži nagib strehe;</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tradicionalna tipologija karakterističnih detalja ili logično i skladno prilagođavanje tih detalja – dimnjaka, luminarija, oluka, zidnih istaka, konzolica, balatura, malih balkona ,ograda, kamenih okvira itd.</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uspravan prozor karakterističnih proporcija i manjih dimenzija širine 80 – 100 (110) ,visine 100–130 (160) cm</w:t>
      </w:r>
    </w:p>
    <w:p w:rsidR="00C026EB" w:rsidRPr="007A1002" w:rsidRDefault="00C026EB" w:rsidP="00C026EB">
      <w:pPr>
        <w:pStyle w:val="BodyText"/>
        <w:rPr>
          <w:rFonts w:ascii="Calibri" w:hAnsi="Calibri" w:cs="Calibri"/>
          <w:sz w:val="22"/>
          <w:szCs w:val="22"/>
        </w:rPr>
      </w:pPr>
      <w:r w:rsidRPr="007A1002">
        <w:rPr>
          <w:rFonts w:ascii="Calibri" w:hAnsi="Calibri" w:cs="Calibri"/>
          <w:sz w:val="22"/>
          <w:szCs w:val="22"/>
        </w:rPr>
        <w:t>Ovi se prozori uzimaju kao mjerodavna veličina tj.proporcijska baza prema kojoj se usklađuju dimenzije ostalih otvora i elemenata pročelja:</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grilje ili škure kao vanjski zatvori na prozorima i balkonskim vratima;</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suzdržanost u primjeni balkona. Manji konzolski istak balkona, do 110 cm, odnosno 120 cm;</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terase, ogradni zidovi terasa u ravnini lica pročelja;</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oprezna primjena lukova i svodova, ravni luk, plitki segmentni luk;</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kamenom zidana pročelja, kamenom obuhvaćeni volumeni, a ne plohe;</w:t>
      </w:r>
    </w:p>
    <w:p w:rsidR="00C026EB" w:rsidRPr="007A1002" w:rsidRDefault="00C026EB" w:rsidP="00C026EB">
      <w:pPr>
        <w:pStyle w:val="BodyText"/>
        <w:tabs>
          <w:tab w:val="clear" w:pos="284"/>
        </w:tabs>
        <w:spacing w:before="0" w:after="0"/>
        <w:ind w:left="1800"/>
        <w:rPr>
          <w:rFonts w:ascii="Calibri" w:hAnsi="Calibri" w:cs="Calibri"/>
          <w:sz w:val="22"/>
          <w:szCs w:val="22"/>
        </w:rPr>
      </w:pP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ožbukana pročelja s kamenim okvirima otvora;</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poravnato lice kamenih zidova pročelja, slojni i miješani slojni vezovi;</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poravnate fuge bez isticanja u boji;</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primjena dvora u najraznovrsnijim odnosima prema dispoziciji kuće i susjedstva;</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vrtovi i dvori prema ulici u području naselja;</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ujednačenost strukture zidova prema namjeni;</w:t>
      </w:r>
    </w:p>
    <w:p w:rsidR="00C026EB" w:rsidRPr="007A1002" w:rsidRDefault="00C026EB" w:rsidP="00C026EB">
      <w:pPr>
        <w:pStyle w:val="BodyText"/>
        <w:numPr>
          <w:ilvl w:val="1"/>
          <w:numId w:val="31"/>
        </w:numPr>
        <w:tabs>
          <w:tab w:val="clear" w:pos="284"/>
        </w:tabs>
        <w:spacing w:before="0" w:after="0"/>
        <w:rPr>
          <w:rFonts w:ascii="Calibri" w:hAnsi="Calibri" w:cs="Calibri"/>
          <w:sz w:val="22"/>
          <w:szCs w:val="22"/>
        </w:rPr>
      </w:pPr>
      <w:r w:rsidRPr="007A1002">
        <w:rPr>
          <w:rFonts w:ascii="Calibri" w:hAnsi="Calibri" w:cs="Calibri"/>
          <w:sz w:val="22"/>
          <w:szCs w:val="22"/>
        </w:rPr>
        <w:t>materijal za pokrivanje krovova : kupa kanalica, mediteran crijep, kamene ploče;</w:t>
      </w:r>
    </w:p>
    <w:p w:rsidR="00C026EB" w:rsidRPr="007A1002" w:rsidRDefault="00C026EB" w:rsidP="00C026EB">
      <w:pPr>
        <w:numPr>
          <w:ilvl w:val="0"/>
          <w:numId w:val="0"/>
        </w:numPr>
        <w:ind w:left="709"/>
        <w:jc w:val="both"/>
        <w:rPr>
          <w:rFonts w:cs="Calibri"/>
          <w:lang w:val="de-DE"/>
        </w:rPr>
      </w:pPr>
    </w:p>
    <w:p w:rsidR="00C026EB" w:rsidRPr="007A1002" w:rsidRDefault="00C026EB" w:rsidP="00C026EB">
      <w:pPr>
        <w:numPr>
          <w:ilvl w:val="0"/>
          <w:numId w:val="0"/>
        </w:numPr>
        <w:ind w:left="709"/>
        <w:jc w:val="both"/>
        <w:rPr>
          <w:rFonts w:ascii="Calibri" w:hAnsi="Calibri" w:cs="Calibri"/>
          <w:sz w:val="24"/>
          <w:szCs w:val="24"/>
        </w:rPr>
      </w:pPr>
      <w:r w:rsidRPr="007A1002">
        <w:rPr>
          <w:rFonts w:ascii="Calibri" w:hAnsi="Calibri" w:cs="Calibri"/>
          <w:sz w:val="24"/>
          <w:szCs w:val="24"/>
          <w:lang w:val="de-DE"/>
        </w:rPr>
        <w:t>Slijede</w:t>
      </w:r>
      <w:r w:rsidRPr="007A1002">
        <w:rPr>
          <w:rFonts w:ascii="Calibri" w:hAnsi="Calibri" w:cs="Calibri"/>
          <w:sz w:val="24"/>
          <w:szCs w:val="24"/>
        </w:rPr>
        <w:t>ć</w:t>
      </w:r>
      <w:r w:rsidRPr="007A1002">
        <w:rPr>
          <w:rFonts w:ascii="Calibri" w:hAnsi="Calibri" w:cs="Calibri"/>
          <w:sz w:val="24"/>
          <w:szCs w:val="24"/>
          <w:lang w:val="de-DE"/>
        </w:rPr>
        <w:t>isuvremenirazvojarhitektonskeiurbanisti</w:t>
      </w:r>
      <w:r w:rsidRPr="007A1002">
        <w:rPr>
          <w:rFonts w:ascii="Calibri" w:hAnsi="Calibri" w:cs="Calibri"/>
          <w:sz w:val="24"/>
          <w:szCs w:val="24"/>
        </w:rPr>
        <w:t>č</w:t>
      </w:r>
      <w:r w:rsidRPr="007A1002">
        <w:rPr>
          <w:rFonts w:ascii="Calibri" w:hAnsi="Calibri" w:cs="Calibri"/>
          <w:sz w:val="24"/>
          <w:szCs w:val="24"/>
          <w:lang w:val="de-DE"/>
        </w:rPr>
        <w:t>kemisli</w:t>
      </w:r>
      <w:r w:rsidRPr="007A1002">
        <w:rPr>
          <w:rFonts w:ascii="Calibri" w:hAnsi="Calibri" w:cs="Calibri"/>
          <w:sz w:val="24"/>
          <w:szCs w:val="24"/>
        </w:rPr>
        <w:t xml:space="preserve">, </w:t>
      </w:r>
      <w:r w:rsidRPr="007A1002">
        <w:rPr>
          <w:rFonts w:ascii="Calibri" w:hAnsi="Calibri" w:cs="Calibri"/>
          <w:sz w:val="24"/>
          <w:szCs w:val="24"/>
          <w:lang w:val="de-DE"/>
        </w:rPr>
        <w:t>uzodgovaraju</w:t>
      </w:r>
      <w:r w:rsidRPr="007A1002">
        <w:rPr>
          <w:rFonts w:ascii="Calibri" w:hAnsi="Calibri" w:cs="Calibri"/>
          <w:sz w:val="24"/>
          <w:szCs w:val="24"/>
        </w:rPr>
        <w:t>ć</w:t>
      </w:r>
      <w:r w:rsidRPr="007A1002">
        <w:rPr>
          <w:rFonts w:ascii="Calibri" w:hAnsi="Calibri" w:cs="Calibri"/>
          <w:sz w:val="24"/>
          <w:szCs w:val="24"/>
          <w:lang w:val="de-DE"/>
        </w:rPr>
        <w:t>ikriti</w:t>
      </w:r>
      <w:r w:rsidRPr="007A1002">
        <w:rPr>
          <w:rFonts w:ascii="Calibri" w:hAnsi="Calibri" w:cs="Calibri"/>
          <w:sz w:val="24"/>
          <w:szCs w:val="24"/>
        </w:rPr>
        <w:t>č</w:t>
      </w:r>
      <w:r w:rsidRPr="007A1002">
        <w:rPr>
          <w:rFonts w:ascii="Calibri" w:hAnsi="Calibri" w:cs="Calibri"/>
          <w:sz w:val="24"/>
          <w:szCs w:val="24"/>
          <w:lang w:val="de-DE"/>
        </w:rPr>
        <w:t>kipristup</w:t>
      </w:r>
      <w:r w:rsidRPr="007A1002">
        <w:rPr>
          <w:rFonts w:ascii="Calibri" w:hAnsi="Calibri" w:cs="Calibri"/>
          <w:sz w:val="24"/>
          <w:szCs w:val="24"/>
        </w:rPr>
        <w:t xml:space="preserve">, </w:t>
      </w:r>
      <w:r w:rsidRPr="007A1002">
        <w:rPr>
          <w:rFonts w:ascii="Calibri" w:hAnsi="Calibri" w:cs="Calibri"/>
          <w:sz w:val="24"/>
          <w:szCs w:val="24"/>
          <w:lang w:val="de-DE"/>
        </w:rPr>
        <w:t>dozvoljenasuisvaonaarhitektonskarje</w:t>
      </w:r>
      <w:r w:rsidRPr="007A1002">
        <w:rPr>
          <w:rFonts w:ascii="Calibri" w:hAnsi="Calibri" w:cs="Calibri"/>
          <w:sz w:val="24"/>
          <w:szCs w:val="24"/>
        </w:rPr>
        <w:t>š</w:t>
      </w:r>
      <w:r w:rsidRPr="007A1002">
        <w:rPr>
          <w:rFonts w:ascii="Calibri" w:hAnsi="Calibri" w:cs="Calibri"/>
          <w:sz w:val="24"/>
          <w:szCs w:val="24"/>
          <w:lang w:val="de-DE"/>
        </w:rPr>
        <w:t>enjaukojimasepolaze</w:t>
      </w:r>
      <w:r w:rsidRPr="007A1002">
        <w:rPr>
          <w:rFonts w:ascii="Calibri" w:hAnsi="Calibri" w:cs="Calibri"/>
          <w:sz w:val="24"/>
          <w:szCs w:val="24"/>
        </w:rPr>
        <w:t>ć</w:t>
      </w:r>
      <w:r w:rsidRPr="007A1002">
        <w:rPr>
          <w:rFonts w:ascii="Calibri" w:hAnsi="Calibri" w:cs="Calibri"/>
          <w:sz w:val="24"/>
          <w:szCs w:val="24"/>
          <w:lang w:val="de-DE"/>
        </w:rPr>
        <w:t>iodizvornihvrijednostigraditeljskeba</w:t>
      </w:r>
      <w:r w:rsidRPr="007A1002">
        <w:rPr>
          <w:rFonts w:ascii="Calibri" w:hAnsi="Calibri" w:cs="Calibri"/>
          <w:sz w:val="24"/>
          <w:szCs w:val="24"/>
        </w:rPr>
        <w:t>š</w:t>
      </w:r>
      <w:r w:rsidRPr="007A1002">
        <w:rPr>
          <w:rFonts w:ascii="Calibri" w:hAnsi="Calibri" w:cs="Calibri"/>
          <w:sz w:val="24"/>
          <w:szCs w:val="24"/>
          <w:lang w:val="de-DE"/>
        </w:rPr>
        <w:t>tinesredine</w:t>
      </w:r>
      <w:r w:rsidRPr="007A1002">
        <w:rPr>
          <w:rFonts w:ascii="Calibri" w:hAnsi="Calibri" w:cs="Calibri"/>
          <w:sz w:val="24"/>
          <w:szCs w:val="24"/>
        </w:rPr>
        <w:t xml:space="preserve">, </w:t>
      </w:r>
      <w:r w:rsidRPr="007A1002">
        <w:rPr>
          <w:rFonts w:ascii="Calibri" w:hAnsi="Calibri" w:cs="Calibri"/>
          <w:sz w:val="24"/>
          <w:szCs w:val="24"/>
          <w:lang w:val="de-DE"/>
        </w:rPr>
        <w:t>nepreuzimaju</w:t>
      </w:r>
      <w:r w:rsidRPr="007A1002">
        <w:rPr>
          <w:rFonts w:ascii="Calibri" w:hAnsi="Calibri" w:cs="Calibri"/>
          <w:sz w:val="24"/>
          <w:szCs w:val="24"/>
        </w:rPr>
        <w:t>ć</w:t>
      </w:r>
      <w:r w:rsidRPr="007A1002">
        <w:rPr>
          <w:rFonts w:ascii="Calibri" w:hAnsi="Calibri" w:cs="Calibri"/>
          <w:sz w:val="24"/>
          <w:szCs w:val="24"/>
          <w:lang w:val="de-DE"/>
        </w:rPr>
        <w:t>iizravnooblikestarihestetikaostvarujunovevrijednosti</w:t>
      </w:r>
      <w:r w:rsidRPr="007A1002">
        <w:rPr>
          <w:rFonts w:ascii="Calibri" w:hAnsi="Calibri" w:cs="Calibri"/>
          <w:sz w:val="24"/>
          <w:szCs w:val="24"/>
        </w:rPr>
        <w:t xml:space="preserve">, </w:t>
      </w:r>
      <w:r w:rsidRPr="007A1002">
        <w:rPr>
          <w:rFonts w:ascii="Calibri" w:hAnsi="Calibri" w:cs="Calibri"/>
          <w:sz w:val="24"/>
          <w:szCs w:val="24"/>
          <w:lang w:val="de-DE"/>
        </w:rPr>
        <w:t>kojepredstavljajulogi</w:t>
      </w:r>
      <w:r w:rsidRPr="007A1002">
        <w:rPr>
          <w:rFonts w:ascii="Calibri" w:hAnsi="Calibri" w:cs="Calibri"/>
          <w:sz w:val="24"/>
          <w:szCs w:val="24"/>
        </w:rPr>
        <w:t>č</w:t>
      </w:r>
      <w:r w:rsidRPr="007A1002">
        <w:rPr>
          <w:rFonts w:ascii="Calibri" w:hAnsi="Calibri" w:cs="Calibri"/>
          <w:sz w:val="24"/>
          <w:szCs w:val="24"/>
          <w:lang w:val="de-DE"/>
        </w:rPr>
        <w:t>ankontinuitetupovijesnomrazvojuarhitekture</w:t>
      </w:r>
      <w:r w:rsidRPr="007A1002">
        <w:rPr>
          <w:rFonts w:ascii="Calibri" w:hAnsi="Calibri" w:cs="Calibri"/>
          <w:sz w:val="24"/>
          <w:szCs w:val="24"/>
        </w:rPr>
        <w:t>.</w:t>
      </w:r>
    </w:p>
    <w:p w:rsidR="00C026EB" w:rsidRPr="007A1002" w:rsidRDefault="00C026EB" w:rsidP="00C026EB">
      <w:pPr>
        <w:numPr>
          <w:ilvl w:val="0"/>
          <w:numId w:val="0"/>
        </w:numPr>
        <w:ind w:left="709"/>
        <w:jc w:val="both"/>
        <w:rPr>
          <w:rFonts w:ascii="Calibri" w:hAnsi="Calibri" w:cs="Calibri"/>
          <w:sz w:val="24"/>
          <w:szCs w:val="24"/>
        </w:rPr>
      </w:pPr>
    </w:p>
    <w:p w:rsidR="00C026EB" w:rsidRPr="007A1002" w:rsidRDefault="00C026EB" w:rsidP="00C026EB">
      <w:pPr>
        <w:numPr>
          <w:ilvl w:val="0"/>
          <w:numId w:val="0"/>
        </w:numPr>
        <w:ind w:left="709"/>
        <w:jc w:val="both"/>
        <w:rPr>
          <w:rFonts w:ascii="Calibri" w:hAnsi="Calibri" w:cs="Calibri"/>
          <w:sz w:val="24"/>
          <w:szCs w:val="24"/>
          <w:lang w:val="it-IT"/>
        </w:rPr>
      </w:pPr>
      <w:r w:rsidRPr="007A1002">
        <w:rPr>
          <w:rFonts w:ascii="Calibri" w:hAnsi="Calibri" w:cs="Calibri"/>
          <w:sz w:val="24"/>
          <w:szCs w:val="24"/>
          <w:lang w:val="it-IT"/>
        </w:rPr>
        <w:t xml:space="preserve">Minimalno 30 % površine građevnih čestica stambene i stambeno poslovne namjene u neizgrađenim dijelovima građevinskog područja treba zadržati kao prirodni ili hortikulturno obrađeni teren koji funkcionira kao upojna površina. Na svakih 200nm2 ukupne površine građevne čestice obvezno je posaditi (ili zadržati postojeće) stablo neke od autohtonih vrsta. </w:t>
      </w:r>
    </w:p>
    <w:p w:rsidR="00C026EB" w:rsidRPr="007A1002" w:rsidRDefault="00C026EB" w:rsidP="00C026EB">
      <w:pPr>
        <w:numPr>
          <w:ilvl w:val="0"/>
          <w:numId w:val="0"/>
        </w:numPr>
        <w:ind w:left="709"/>
        <w:jc w:val="both"/>
        <w:rPr>
          <w:rFonts w:ascii="Calibri" w:hAnsi="Calibri" w:cs="Calibri"/>
          <w:sz w:val="24"/>
          <w:szCs w:val="24"/>
          <w:lang w:val="it-IT"/>
        </w:rPr>
      </w:pPr>
    </w:p>
    <w:p w:rsidR="00C026EB" w:rsidRPr="007A1002" w:rsidRDefault="00C026EB" w:rsidP="00C026EB">
      <w:pPr>
        <w:numPr>
          <w:ilvl w:val="0"/>
          <w:numId w:val="0"/>
        </w:numPr>
        <w:ind w:left="709"/>
        <w:jc w:val="both"/>
        <w:rPr>
          <w:rFonts w:ascii="Calibri" w:hAnsi="Calibri" w:cs="Calibri"/>
          <w:sz w:val="24"/>
          <w:szCs w:val="24"/>
          <w:lang w:val="it-IT"/>
        </w:rPr>
      </w:pPr>
      <w:r w:rsidRPr="007A1002">
        <w:rPr>
          <w:rFonts w:ascii="Calibri" w:hAnsi="Calibri" w:cs="Calibri"/>
          <w:sz w:val="24"/>
          <w:szCs w:val="24"/>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C026EB" w:rsidRPr="007A1002" w:rsidRDefault="00C026EB" w:rsidP="00C026EB">
      <w:pPr>
        <w:numPr>
          <w:ilvl w:val="0"/>
          <w:numId w:val="0"/>
        </w:numPr>
        <w:ind w:left="709"/>
        <w:jc w:val="both"/>
        <w:rPr>
          <w:rFonts w:ascii="Calibri" w:hAnsi="Calibri" w:cs="Calibri"/>
          <w:spacing w:val="-4"/>
          <w:sz w:val="24"/>
          <w:szCs w:val="24"/>
          <w:lang w:val="it-IT"/>
        </w:rPr>
      </w:pPr>
    </w:p>
    <w:p w:rsidR="00C026EB" w:rsidRPr="007A1002" w:rsidRDefault="00C026EB" w:rsidP="00C026EB">
      <w:pPr>
        <w:numPr>
          <w:ilvl w:val="0"/>
          <w:numId w:val="0"/>
        </w:numPr>
        <w:ind w:left="709"/>
        <w:jc w:val="both"/>
        <w:rPr>
          <w:rFonts w:ascii="Calibri" w:hAnsi="Calibri" w:cs="Calibri"/>
          <w:snapToGrid w:val="0"/>
          <w:sz w:val="24"/>
          <w:szCs w:val="24"/>
          <w:lang w:val="it-IT"/>
        </w:rPr>
      </w:pPr>
      <w:r w:rsidRPr="007A1002">
        <w:rPr>
          <w:rFonts w:ascii="Calibri" w:hAnsi="Calibri" w:cs="Calibri"/>
          <w:snapToGrid w:val="0"/>
          <w:sz w:val="24"/>
          <w:szCs w:val="24"/>
          <w:lang w:val="it-IT"/>
        </w:rPr>
        <w:lastRenderedPageBreak/>
        <w:t>Na građevnim česticama potrebno je urediti prostor za kratkotrajno odlaganje kućnog otpada, ako je organiziran odvoz otpada. Mjesto za odlaganje treba biti lako pristupačno s javne prometne površine i treba biti zaklonjeno od izravnoga pogleda s ulice.</w:t>
      </w:r>
    </w:p>
    <w:p w:rsidR="00C026EB" w:rsidRPr="007A1002" w:rsidRDefault="00C026EB" w:rsidP="00C026EB">
      <w:pPr>
        <w:numPr>
          <w:ilvl w:val="0"/>
          <w:numId w:val="0"/>
        </w:numPr>
        <w:ind w:left="709"/>
        <w:jc w:val="both"/>
        <w:rPr>
          <w:rFonts w:ascii="Calibri" w:hAnsi="Calibri" w:cs="Calibri"/>
          <w:snapToGrid w:val="0"/>
          <w:sz w:val="24"/>
          <w:szCs w:val="24"/>
          <w:lang w:val="it-IT"/>
        </w:rPr>
      </w:pPr>
    </w:p>
    <w:p w:rsidR="00C026EB" w:rsidRPr="007A1002" w:rsidRDefault="00C026EB" w:rsidP="00C026EB">
      <w:pPr>
        <w:numPr>
          <w:ilvl w:val="0"/>
          <w:numId w:val="0"/>
        </w:numPr>
        <w:ind w:left="709"/>
        <w:jc w:val="both"/>
        <w:rPr>
          <w:rFonts w:ascii="Calibri" w:hAnsi="Calibri" w:cs="Calibri"/>
          <w:spacing w:val="-4"/>
          <w:sz w:val="24"/>
          <w:szCs w:val="24"/>
          <w:lang w:val="it-IT"/>
        </w:rPr>
      </w:pPr>
      <w:r w:rsidRPr="007A1002">
        <w:rPr>
          <w:rFonts w:ascii="Calibri" w:hAnsi="Calibri" w:cs="Calibri"/>
          <w:sz w:val="24"/>
          <w:szCs w:val="24"/>
          <w:lang w:val="it-IT"/>
        </w:rPr>
        <w:t xml:space="preserve">Teren oko građevina, potporni zidovi, terase i sl. moraju se izvesti tako da ne narušavaju izgled naselja, da prate nagib terena (dopušta se maksimalna korekcija kote prirodnog terena neizgrađenog dijela čestice za +/- 1m) i da se ne promijeni prirodno otjecanje vode na štetu susjednog zemljišta i susjednih građevina. </w:t>
      </w:r>
      <w:r w:rsidRPr="007A1002">
        <w:rPr>
          <w:rFonts w:ascii="Calibri" w:hAnsi="Calibri" w:cs="Calibri"/>
          <w:spacing w:val="-4"/>
          <w:sz w:val="24"/>
          <w:szCs w:val="24"/>
          <w:lang w:val="it-IT"/>
        </w:rPr>
        <w:t xml:space="preserve">Površine građevne čestice obrađene kao nepropusne (krovovi ravni ili kosi, terase, popločane staze itd.) mogu biti do 30 % površine građevne čestice. </w:t>
      </w:r>
    </w:p>
    <w:p w:rsidR="00C026EB" w:rsidRPr="007A1002" w:rsidRDefault="00C026EB" w:rsidP="00C026EB">
      <w:pPr>
        <w:numPr>
          <w:ilvl w:val="0"/>
          <w:numId w:val="0"/>
        </w:numPr>
        <w:ind w:left="709"/>
        <w:jc w:val="both"/>
        <w:rPr>
          <w:rFonts w:ascii="Calibri" w:hAnsi="Calibri" w:cs="Calibri"/>
          <w:strike/>
          <w:sz w:val="24"/>
          <w:szCs w:val="24"/>
          <w:lang w:val="it-IT"/>
        </w:rPr>
      </w:pPr>
    </w:p>
    <w:p w:rsidR="00C026EB" w:rsidRPr="007A1002" w:rsidRDefault="00C026EB" w:rsidP="00C026EB">
      <w:pPr>
        <w:pStyle w:val="NoSpacing"/>
        <w:jc w:val="both"/>
        <w:rPr>
          <w:rFonts w:cs="Calibri"/>
          <w:sz w:val="24"/>
          <w:szCs w:val="24"/>
          <w:lang w:val="it-IT"/>
        </w:rPr>
      </w:pPr>
      <w:r w:rsidRPr="007A1002">
        <w:rPr>
          <w:rFonts w:cs="Calibri"/>
          <w:sz w:val="24"/>
          <w:szCs w:val="24"/>
          <w:lang w:val="it-IT"/>
        </w:rPr>
        <w:t>Prema Pravilniku o jednostavnim i drugim građevinama i radovima, moguće je na građevinskim parcelama unutar građevinskih područja, izgraditi bez građevinske dozvole:</w:t>
      </w:r>
    </w:p>
    <w:p w:rsidR="00C026EB" w:rsidRPr="007A1002" w:rsidRDefault="00C026EB" w:rsidP="00C026EB">
      <w:pPr>
        <w:pStyle w:val="NoSpacing"/>
        <w:jc w:val="both"/>
        <w:rPr>
          <w:rFonts w:cs="Calibri"/>
          <w:sz w:val="24"/>
          <w:szCs w:val="24"/>
          <w:lang w:val="it-IT"/>
        </w:rPr>
      </w:pPr>
      <w:r w:rsidRPr="007A1002">
        <w:rPr>
          <w:rFonts w:cs="Calibri"/>
          <w:sz w:val="24"/>
          <w:szCs w:val="24"/>
          <w:lang w:val="it-IT"/>
        </w:rPr>
        <w:t>-bazen najveće površine do 40 m2;</w:t>
      </w:r>
    </w:p>
    <w:p w:rsidR="00C026EB" w:rsidRPr="007A1002" w:rsidRDefault="00C026EB" w:rsidP="00C026EB">
      <w:pPr>
        <w:pStyle w:val="NoSpacing"/>
        <w:jc w:val="both"/>
        <w:rPr>
          <w:rFonts w:cs="Calibri"/>
          <w:sz w:val="24"/>
          <w:szCs w:val="24"/>
          <w:lang w:val="it-IT"/>
        </w:rPr>
      </w:pPr>
      <w:r w:rsidRPr="007A1002">
        <w:rPr>
          <w:rFonts w:cs="Calibri"/>
          <w:sz w:val="24"/>
          <w:szCs w:val="24"/>
          <w:lang w:val="it-IT"/>
        </w:rPr>
        <w:t>-slobodnostojeću ili sa zgradom konstruktivno povezanu nadstrešnicu, tlocrtne površine do 15 m2, izvan tlocrtnih gabarita postojeće zgrade.</w:t>
      </w:r>
    </w:p>
    <w:p w:rsidR="00315132" w:rsidRDefault="00315132">
      <w:pPr>
        <w:pStyle w:val="Caption"/>
        <w:tabs>
          <w:tab w:val="num" w:pos="426"/>
        </w:tabs>
        <w:ind w:left="426"/>
        <w:rPr>
          <w:sz w:val="22"/>
        </w:rPr>
      </w:pPr>
    </w:p>
    <w:p w:rsidR="006A35D3" w:rsidRPr="006A35D3" w:rsidRDefault="006A35D3" w:rsidP="006A35D3">
      <w:pPr>
        <w:numPr>
          <w:ilvl w:val="0"/>
          <w:numId w:val="0"/>
        </w:numPr>
        <w:ind w:left="709"/>
        <w:rPr>
          <w:lang w:val="hr-HR"/>
        </w:rPr>
      </w:pPr>
    </w:p>
    <w:p w:rsidR="00315132" w:rsidRPr="00C026EB" w:rsidRDefault="00315132">
      <w:pPr>
        <w:pStyle w:val="janja"/>
        <w:spacing w:after="144"/>
        <w:rPr>
          <w:rFonts w:ascii="Calibri" w:hAnsi="Calibri" w:cs="Calibri"/>
          <w:b/>
          <w:sz w:val="24"/>
          <w:szCs w:val="24"/>
          <w:lang w:val="hr-HR"/>
        </w:rPr>
      </w:pPr>
      <w:r w:rsidRPr="00C026EB">
        <w:rPr>
          <w:rFonts w:ascii="Calibri" w:hAnsi="Calibri" w:cs="Calibri"/>
          <w:b/>
          <w:sz w:val="24"/>
          <w:szCs w:val="24"/>
          <w:lang w:val="hr-HR"/>
        </w:rPr>
        <w:t xml:space="preserve">5. Uvjeti uređenja odnosno gradnje, rekonstrukcije i opremanja prometne, telekomunikacijske i komunalne mreže s pripadajućim objektima i površinama </w:t>
      </w:r>
    </w:p>
    <w:p w:rsidR="00315132" w:rsidRPr="00C026EB" w:rsidRDefault="00315132">
      <w:pPr>
        <w:pStyle w:val="janja"/>
        <w:spacing w:before="120" w:after="144"/>
        <w:rPr>
          <w:rFonts w:ascii="Calibri" w:hAnsi="Calibri" w:cs="Calibri"/>
          <w:sz w:val="24"/>
          <w:szCs w:val="24"/>
          <w:lang w:val="hr-HR"/>
        </w:rPr>
      </w:pPr>
      <w:r w:rsidRPr="00C026EB">
        <w:rPr>
          <w:rFonts w:ascii="Calibri" w:hAnsi="Calibri" w:cs="Calibri"/>
          <w:b/>
          <w:sz w:val="24"/>
          <w:szCs w:val="24"/>
          <w:lang w:val="hr-HR"/>
        </w:rPr>
        <w:t>5.1. Uvjeti gradnje prometne mreže</w:t>
      </w:r>
    </w:p>
    <w:p w:rsidR="00315132" w:rsidRDefault="00315132" w:rsidP="007A1002">
      <w:pPr>
        <w:pStyle w:val="Caption"/>
        <w:tabs>
          <w:tab w:val="num" w:pos="426"/>
        </w:tabs>
        <w:jc w:val="left"/>
        <w:rPr>
          <w:rFonts w:ascii="Calibri" w:hAnsi="Calibri" w:cs="Calibri"/>
          <w:szCs w:val="24"/>
        </w:rPr>
      </w:pPr>
      <w:r w:rsidRPr="001F763E">
        <w:rPr>
          <w:rFonts w:ascii="Calibri" w:hAnsi="Calibri" w:cs="Calibri"/>
          <w:szCs w:val="24"/>
        </w:rPr>
        <w:t xml:space="preserve">Članak </w:t>
      </w:r>
      <w:r w:rsidR="00D15348" w:rsidRPr="001F763E">
        <w:rPr>
          <w:rFonts w:ascii="Calibri" w:hAnsi="Calibri" w:cs="Calibri"/>
          <w:szCs w:val="24"/>
        </w:rPr>
        <w:fldChar w:fldCharType="begin"/>
      </w:r>
      <w:r w:rsidRPr="001F763E">
        <w:rPr>
          <w:rFonts w:ascii="Calibri" w:hAnsi="Calibri" w:cs="Calibri"/>
          <w:szCs w:val="24"/>
        </w:rPr>
        <w:instrText xml:space="preserve"> SEQ Članak \* ARABIC </w:instrText>
      </w:r>
      <w:r w:rsidR="00D15348" w:rsidRPr="001F763E">
        <w:rPr>
          <w:rFonts w:ascii="Calibri" w:hAnsi="Calibri" w:cs="Calibri"/>
          <w:szCs w:val="24"/>
        </w:rPr>
        <w:fldChar w:fldCharType="separate"/>
      </w:r>
      <w:r w:rsidR="001A3124">
        <w:rPr>
          <w:rFonts w:ascii="Calibri" w:hAnsi="Calibri" w:cs="Calibri"/>
          <w:noProof/>
          <w:szCs w:val="24"/>
        </w:rPr>
        <w:t>17</w:t>
      </w:r>
      <w:r w:rsidR="00D15348" w:rsidRPr="001F763E">
        <w:rPr>
          <w:rFonts w:ascii="Calibri" w:hAnsi="Calibri" w:cs="Calibri"/>
          <w:szCs w:val="24"/>
        </w:rPr>
        <w:fldChar w:fldCharType="end"/>
      </w:r>
      <w:r w:rsidRPr="001F763E">
        <w:rPr>
          <w:rFonts w:ascii="Calibri" w:hAnsi="Calibri" w:cs="Calibri"/>
          <w:szCs w:val="24"/>
        </w:rPr>
        <w:t>.</w:t>
      </w:r>
    </w:p>
    <w:p w:rsidR="007A1002" w:rsidRDefault="007A1002" w:rsidP="007A1002">
      <w:pPr>
        <w:numPr>
          <w:ilvl w:val="0"/>
          <w:numId w:val="0"/>
        </w:numPr>
        <w:rPr>
          <w:lang w:val="hr-HR"/>
        </w:rPr>
      </w:pPr>
    </w:p>
    <w:p w:rsidR="007A1002" w:rsidRPr="00BC00CC" w:rsidRDefault="007A1002" w:rsidP="007A1002">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17. mijenja se i sada glasi:</w:t>
      </w:r>
    </w:p>
    <w:p w:rsidR="00315132" w:rsidRPr="00C026EB" w:rsidRDefault="00315132">
      <w:pPr>
        <w:pStyle w:val="janja"/>
        <w:spacing w:before="120" w:after="120"/>
        <w:rPr>
          <w:rFonts w:ascii="Calibri" w:hAnsi="Calibri" w:cs="Calibri"/>
          <w:sz w:val="24"/>
          <w:szCs w:val="24"/>
          <w:lang w:val="hr-HR"/>
        </w:rPr>
      </w:pPr>
      <w:r w:rsidRPr="00C026EB">
        <w:rPr>
          <w:rFonts w:ascii="Calibri" w:hAnsi="Calibri" w:cs="Calibri"/>
          <w:sz w:val="24"/>
          <w:szCs w:val="24"/>
          <w:lang w:val="hr-HR"/>
        </w:rPr>
        <w:t>Postojeća prometnica položena neposredno uz područje obuhvata Plana s južne strane je državna cesta.</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Postojeće prometnice u obuhvatu Plana su:</w:t>
      </w:r>
    </w:p>
    <w:p w:rsidR="00315132" w:rsidRPr="00C026EB" w:rsidRDefault="00315132">
      <w:pPr>
        <w:pStyle w:val="janja"/>
        <w:numPr>
          <w:ilvl w:val="0"/>
          <w:numId w:val="1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 xml:space="preserve">ulazna cesta u naselje Sutivan smještena uz zapadnu granicu obuhvata Plana, </w:t>
      </w:r>
    </w:p>
    <w:p w:rsidR="00315132" w:rsidRPr="00C026EB" w:rsidRDefault="00315132">
      <w:pPr>
        <w:pStyle w:val="janja"/>
        <w:numPr>
          <w:ilvl w:val="0"/>
          <w:numId w:val="1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djelomično asfaltirana prometnica koja prolazi sredinom obuhvata u smjeru istok-zapad</w:t>
      </w:r>
    </w:p>
    <w:p w:rsidR="00315132" w:rsidRPr="00C026EB" w:rsidRDefault="00315132">
      <w:pPr>
        <w:pStyle w:val="janja"/>
        <w:numPr>
          <w:ilvl w:val="0"/>
          <w:numId w:val="1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dužobalna šetnica</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Uz državnu cestu treba osigurati zaštitni koridor za potrebe rekonstrukcije, odnosno podizanja razine usluge ceste, u širini propisanoj posebnim zakonima. Zaštitni koridor može se uređivati kao zelena površina.</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 xml:space="preserve">Na području obuhvata Plana prometnice su svrstane (kategorizirane) na slijedeći način:   </w:t>
      </w:r>
    </w:p>
    <w:p w:rsidR="00315132" w:rsidRPr="00C026EB" w:rsidRDefault="00315132">
      <w:pPr>
        <w:pStyle w:val="janja"/>
        <w:numPr>
          <w:ilvl w:val="0"/>
          <w:numId w:val="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sabirne ulice</w:t>
      </w:r>
    </w:p>
    <w:p w:rsidR="00315132" w:rsidRPr="00C026EB" w:rsidRDefault="00315132">
      <w:pPr>
        <w:pStyle w:val="janja"/>
        <w:numPr>
          <w:ilvl w:val="0"/>
          <w:numId w:val="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stambene ulice</w:t>
      </w:r>
    </w:p>
    <w:p w:rsidR="00315132" w:rsidRPr="00C026EB" w:rsidRDefault="00315132">
      <w:pPr>
        <w:pStyle w:val="janja"/>
        <w:numPr>
          <w:ilvl w:val="0"/>
          <w:numId w:val="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kolno – pješačke prometnice i</w:t>
      </w:r>
    </w:p>
    <w:p w:rsidR="00315132" w:rsidRPr="00C026EB" w:rsidRDefault="00315132">
      <w:pPr>
        <w:pStyle w:val="janja"/>
        <w:numPr>
          <w:ilvl w:val="0"/>
          <w:numId w:val="7"/>
        </w:numPr>
        <w:tabs>
          <w:tab w:val="clear" w:pos="785"/>
          <w:tab w:val="num" w:pos="709"/>
        </w:tabs>
        <w:spacing w:after="120"/>
        <w:rPr>
          <w:rFonts w:ascii="Calibri" w:hAnsi="Calibri" w:cs="Calibri"/>
          <w:sz w:val="24"/>
          <w:szCs w:val="24"/>
          <w:lang w:val="hr-HR"/>
        </w:rPr>
      </w:pPr>
      <w:r w:rsidRPr="00C026EB">
        <w:rPr>
          <w:rFonts w:ascii="Calibri" w:hAnsi="Calibri" w:cs="Calibri"/>
          <w:sz w:val="24"/>
          <w:szCs w:val="24"/>
          <w:lang w:val="hr-HR"/>
        </w:rPr>
        <w:t>pješačke komunikacije.</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Sabirne ulice predstavljaju temeljne kolne prometnice Plana, čija je uloga povezivanje lokalne mreže na prometnu mrežu šireg značaja.</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t>Građevne čestice smještene uz sabirne ulice mogu imati kolni pristup s njih, ukoliko nije moguć pristup na čestice sa stambenih ulica.</w:t>
      </w:r>
    </w:p>
    <w:p w:rsidR="00315132" w:rsidRPr="00C026EB" w:rsidRDefault="00315132">
      <w:pPr>
        <w:pStyle w:val="janja"/>
        <w:spacing w:after="120"/>
        <w:rPr>
          <w:rFonts w:ascii="Calibri" w:hAnsi="Calibri" w:cs="Calibri"/>
          <w:sz w:val="24"/>
          <w:szCs w:val="24"/>
          <w:lang w:val="hr-HR"/>
        </w:rPr>
      </w:pPr>
      <w:r w:rsidRPr="00C026EB">
        <w:rPr>
          <w:rFonts w:ascii="Calibri" w:hAnsi="Calibri" w:cs="Calibri"/>
          <w:sz w:val="24"/>
          <w:szCs w:val="24"/>
          <w:lang w:val="hr-HR"/>
        </w:rPr>
        <w:lastRenderedPageBreak/>
        <w:t>Stambene ulice predstavljaju mrežu osnovnih prometnica putem kojih je moguć neposredan pristup do planiranih građevnih čestica. Ove ulice su direktno povezane na kolnike sabirnih ulica.</w:t>
      </w:r>
    </w:p>
    <w:p w:rsidR="00AB2DEE" w:rsidRPr="00BC00CC" w:rsidRDefault="00AB2DEE" w:rsidP="00AB2DEE">
      <w:pPr>
        <w:pStyle w:val="janja"/>
        <w:spacing w:before="120"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Postojeća prometnica položena neposred</w:t>
      </w:r>
      <w:r w:rsidR="000A356F" w:rsidRPr="00BC00CC">
        <w:rPr>
          <w:rFonts w:asciiTheme="minorHAnsi" w:hAnsiTheme="minorHAnsi" w:cstheme="minorHAnsi"/>
          <w:sz w:val="24"/>
          <w:szCs w:val="24"/>
          <w:lang w:val="hr-HR"/>
        </w:rPr>
        <w:t>no uz područje obuhvata Plana s</w:t>
      </w:r>
      <w:r w:rsidRPr="00BC00CC">
        <w:rPr>
          <w:rFonts w:asciiTheme="minorHAnsi" w:hAnsiTheme="minorHAnsi" w:cstheme="minorHAnsi"/>
          <w:sz w:val="24"/>
          <w:szCs w:val="24"/>
          <w:lang w:val="hr-HR"/>
        </w:rPr>
        <w:t xml:space="preserve"> južne strane je državna cesta D114.</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Postojeće prometnice u obuhvatu Plana su:</w:t>
      </w:r>
    </w:p>
    <w:p w:rsidR="00AB2DEE" w:rsidRPr="00BC00CC" w:rsidRDefault="00AB2DEE" w:rsidP="00AB2DEE">
      <w:pPr>
        <w:pStyle w:val="janja"/>
        <w:numPr>
          <w:ilvl w:val="0"/>
          <w:numId w:val="1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ulazna cesta u naselje Sutivan smještena uz zapadnu granicu obuhvata Plana, </w:t>
      </w:r>
    </w:p>
    <w:p w:rsidR="00AB2DEE" w:rsidRPr="00BC00CC" w:rsidRDefault="00AB2DEE" w:rsidP="00AB2DEE">
      <w:pPr>
        <w:pStyle w:val="janja"/>
        <w:numPr>
          <w:ilvl w:val="0"/>
          <w:numId w:val="1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djelomično asfaltirana prometnica koja prolazi sredinom obuhvata u smjeru istok-zapad</w:t>
      </w:r>
    </w:p>
    <w:p w:rsidR="00AB2DEE" w:rsidRPr="00BC00CC" w:rsidRDefault="00AB2DEE" w:rsidP="00AB2DEE">
      <w:pPr>
        <w:pStyle w:val="janja"/>
        <w:numPr>
          <w:ilvl w:val="0"/>
          <w:numId w:val="1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dužobalna šetnica</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Uz državnu cestu treba osigurati zaštitni koridor za potrebe rekonstrukcije, odnosno podizanja razine usluge ceste, u širini propisanoj posebnim zakonima. Zaštitni koridor može se uređivati kao zelena površina.</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Na području obuhvata Plana prometnice su svrstane (kategorizirane) na slijedeći način:   </w:t>
      </w:r>
    </w:p>
    <w:p w:rsidR="00AB2DEE" w:rsidRPr="00BC00CC"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sabirne ulice</w:t>
      </w:r>
    </w:p>
    <w:p w:rsidR="00AB2DEE" w:rsidRPr="00BC00CC"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stambene ulice</w:t>
      </w:r>
    </w:p>
    <w:p w:rsidR="00AB2DEE" w:rsidRPr="00BC00CC"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kolno – pješačke prometnice i</w:t>
      </w:r>
    </w:p>
    <w:p w:rsidR="00AB2DEE" w:rsidRPr="00BC00CC"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pješačke komunikacije.</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Sabirne ulice predstavljaju temeljne kolne prometnice Plana, čija je uloga povezivanje lokalne mreže na prometnu mrežu šireg značaja.</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Građevne čestice smještene uz sabirne ulice mogu imati kolni pristup s njih, ukoliko nije moguć pristup na čestice sa stambenih ulica.</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Stambene ulice predstavljaju mrežu osnovnih prometnica putem kojih je moguć neposredan pristup do planiranih građevnih čestica. Ove ulice su direktno povezane na kolnike sabirnih ulica.</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t>Prometnica oznake ‘os 1’</w:t>
      </w:r>
      <w:r w:rsidRPr="00BC00CC">
        <w:rPr>
          <w:rFonts w:asciiTheme="minorHAnsi" w:hAnsiTheme="minorHAnsi" w:cstheme="minorHAnsi"/>
          <w:szCs w:val="24"/>
          <w:lang w:val="hr-HR"/>
        </w:rPr>
        <w:t xml:space="preserve"> odnosi se na kolnu prometnicu koja prestavlja ulaznu cestu u naselje i nalazi se uz zapadnu granicu obuhvata plana. Os 1 se sastoji od dva vozna traka ukupne širine 5,50 metara te jednostranim pješačkim nogostupom minimalne širine 1.5 metra. </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t>Prometnica oznake ‘os 2’</w:t>
      </w:r>
      <w:r w:rsidRPr="00BC00CC">
        <w:rPr>
          <w:rFonts w:asciiTheme="minorHAnsi" w:hAnsiTheme="minorHAnsi" w:cstheme="minorHAnsi"/>
          <w:szCs w:val="24"/>
          <w:lang w:val="hr-HR"/>
        </w:rPr>
        <w:t xml:space="preserve"> odnosi se na kolnu prometnicu koja prolazi sredinom obuhvata plana u smijeru istok – zapad ista je djelomično asfaltirana. Os 2 se sastoji od dva vozna traka ukupne širine 5,50 metara te jednostranim pješačkim nogostupom minimalne širine 1.5 metra. </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t>Prometnica oznake ‘os 3 ’</w:t>
      </w:r>
      <w:r w:rsidRPr="00BC00CC">
        <w:rPr>
          <w:rFonts w:asciiTheme="minorHAnsi" w:hAnsiTheme="minorHAnsi" w:cstheme="minorHAnsi"/>
          <w:szCs w:val="24"/>
          <w:lang w:val="hr-HR"/>
        </w:rPr>
        <w:t xml:space="preserve"> odnosi se na kolnu prometnicu koja se pruža u smijeru istok – zapad. Ista se na istoku veže na os2 a na zapadu na os1. Os 3 se sastoji od dva vozna traka ukupne širine 5,50 metara te jednostranim pješačkim nogostupom minimalne širine 1.5 metra. </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t>Prometnica oznake ‘os 4 ’</w:t>
      </w:r>
      <w:r w:rsidRPr="00BC00CC">
        <w:rPr>
          <w:rFonts w:asciiTheme="minorHAnsi" w:hAnsiTheme="minorHAnsi" w:cstheme="minorHAnsi"/>
          <w:szCs w:val="24"/>
          <w:lang w:val="hr-HR"/>
        </w:rPr>
        <w:t xml:space="preserve"> odnosi se na kolnu prometnicu koja se pruža u smijeru sjever – jug. Ista je slijepa ulica a zbog male dužine nije potrebno okretište. Os 4 se sastoji od dva vozna traka ukupne širine 5,50 metara te jednostranim pješačkim nogostupom minimalne širine 1.5 metara. </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t>Prometnice oznaka ‘os 5, os 6, os 7, os 8 i os 9 ’</w:t>
      </w:r>
      <w:r w:rsidRPr="00BC00CC">
        <w:rPr>
          <w:rFonts w:asciiTheme="minorHAnsi" w:hAnsiTheme="minorHAnsi" w:cstheme="minorHAnsi"/>
          <w:szCs w:val="24"/>
          <w:lang w:val="hr-HR"/>
        </w:rPr>
        <w:t xml:space="preserve"> su kolno-pješačke prometnice. Iste se sastoji od dva vozna traka ukupne širine 5,50 metara i kao takve služe za kolnu i pješačku komunikaciju. </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t>Prometnice oznaka ‘os 10 ’</w:t>
      </w:r>
      <w:r w:rsidRPr="00BC00CC">
        <w:rPr>
          <w:rFonts w:asciiTheme="minorHAnsi" w:hAnsiTheme="minorHAnsi" w:cstheme="minorHAnsi"/>
          <w:szCs w:val="24"/>
          <w:lang w:val="hr-HR"/>
        </w:rPr>
        <w:t xml:space="preserve"> su kolno-pješačke prometnice. Iste se sastoji od dva vozna traka ukupne širine 4,50 metra, manje su dužine i kao takve služe za kolnu i pješačku komunikaciju. </w:t>
      </w:r>
    </w:p>
    <w:p w:rsidR="00AB2DEE" w:rsidRPr="00BC00CC" w:rsidRDefault="00AB2DEE" w:rsidP="00AB2DEE">
      <w:pPr>
        <w:pStyle w:val="BodyText"/>
        <w:jc w:val="both"/>
        <w:rPr>
          <w:rFonts w:asciiTheme="minorHAnsi" w:hAnsiTheme="minorHAnsi" w:cstheme="minorHAnsi"/>
          <w:szCs w:val="24"/>
          <w:lang w:val="hr-HR"/>
        </w:rPr>
      </w:pPr>
      <w:r w:rsidRPr="00BC00CC">
        <w:rPr>
          <w:rFonts w:asciiTheme="minorHAnsi" w:hAnsiTheme="minorHAnsi" w:cstheme="minorHAnsi"/>
          <w:b/>
          <w:szCs w:val="24"/>
          <w:lang w:val="hr-HR"/>
        </w:rPr>
        <w:lastRenderedPageBreak/>
        <w:t>Prometnice oznaka ‘os 11, os 12 i os13 ’</w:t>
      </w:r>
      <w:r w:rsidRPr="00BC00CC">
        <w:rPr>
          <w:rFonts w:asciiTheme="minorHAnsi" w:hAnsiTheme="minorHAnsi" w:cstheme="minorHAnsi"/>
          <w:szCs w:val="24"/>
          <w:lang w:val="hr-HR"/>
        </w:rPr>
        <w:t xml:space="preserve"> su kolno-pješačke prometnice. Iste se sastoji od jednog vozna traka ukupne širine 3,50 (3,0) metra, manje su dužine i kao takve služe za kolnu i pješačku komunikaciju. </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Na mjestima priključaka kolno – pješačkih odnosno pješačkih ulica na nogostup sabirne odnosno stambene ulice obvezna je gradnja zakošene pristupne rampe, zakošenje lica rubnjaka ili upuštanje rubnjaka u dužini potrebnoj za prolaz vozila.  </w:t>
      </w:r>
    </w:p>
    <w:p w:rsidR="00AB2DEE" w:rsidRPr="00BC00CC" w:rsidRDefault="00AB2DEE" w:rsidP="00AB2DEE">
      <w:pPr>
        <w:pStyle w:val="janja"/>
        <w:spacing w:after="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Uzdužni nagibi svih prometnica unutar zone su u skladu s Pravilnikom i omogućavaju nesmetano prometovanje mjerodavnog vozila, a kreću se do max. 12.0%. </w:t>
      </w:r>
    </w:p>
    <w:p w:rsidR="00AB2DEE" w:rsidRPr="00BC00CC" w:rsidRDefault="00AB2DEE" w:rsidP="00AB2DEE">
      <w:pPr>
        <w:pStyle w:val="janja"/>
        <w:spacing w:before="2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Uvjeti gradnje kolno – pješačkih prometnica i pješačkih komunikacija</w:t>
      </w:r>
    </w:p>
    <w:p w:rsidR="00AB2DEE" w:rsidRPr="00BC00CC" w:rsidRDefault="00AB2DEE" w:rsidP="00AB2DEE">
      <w:pPr>
        <w:pStyle w:val="janja"/>
        <w:spacing w:after="144"/>
        <w:jc w:val="both"/>
        <w:rPr>
          <w:rFonts w:asciiTheme="minorHAnsi" w:hAnsiTheme="minorHAnsi" w:cstheme="minorHAnsi"/>
          <w:spacing w:val="-4"/>
          <w:sz w:val="24"/>
          <w:szCs w:val="24"/>
          <w:lang w:val="hr-HR"/>
        </w:rPr>
      </w:pPr>
      <w:r w:rsidRPr="00BC00CC">
        <w:rPr>
          <w:rFonts w:asciiTheme="minorHAnsi" w:hAnsiTheme="minorHAnsi" w:cstheme="minorHAnsi"/>
          <w:spacing w:val="-4"/>
          <w:sz w:val="24"/>
          <w:szCs w:val="24"/>
          <w:lang w:val="hr-HR"/>
        </w:rPr>
        <w:t>Dužobalna šetnica planirana je kao kolno-pješačka površina os 9 širine 5,5 m. Šetnica prvenstveno služi kao pješačka površina. Kolni promet dozvoljen je samo za kolni pristup građevnim česticama smještenim u prvom redu do šetnice. Šetnicu treba opremiti urbanom opremom (klupe, kante za otpatke, rasvjeta...). Popločenje treba izvesti od kamenih ploča, granitnih kocaka ili prefabriciranih betonskih elemenata.Uz sjeverni rub šetnice, prema plaži, postavlja se drvored.</w:t>
      </w:r>
    </w:p>
    <w:p w:rsidR="00AB2DEE" w:rsidRPr="00BC00CC" w:rsidRDefault="00AB2DEE" w:rsidP="00AB2DEE">
      <w:pPr>
        <w:pStyle w:val="janja"/>
        <w:spacing w:after="144"/>
        <w:jc w:val="both"/>
        <w:rPr>
          <w:rFonts w:asciiTheme="minorHAnsi" w:hAnsiTheme="minorHAnsi" w:cstheme="minorHAnsi"/>
          <w:spacing w:val="-4"/>
          <w:sz w:val="24"/>
          <w:szCs w:val="24"/>
          <w:lang w:val="hr-HR"/>
        </w:rPr>
      </w:pPr>
      <w:r w:rsidRPr="00BC00CC">
        <w:rPr>
          <w:rFonts w:asciiTheme="minorHAnsi" w:hAnsiTheme="minorHAnsi" w:cstheme="minorHAnsi"/>
          <w:spacing w:val="-4"/>
          <w:sz w:val="24"/>
          <w:szCs w:val="24"/>
          <w:lang w:val="hr-HR"/>
        </w:rPr>
        <w:t>Kolno-pješački putevi širine 3 (3,5) m, postavljeni u smjeru sjever-jug, koji izlaze na šetnicu, također služe kao kolni pristup građevnim česticama, a prvenstveno kao pješačka komunikacija prema obali. Putevi se obrađuju na isti način kao pješačke površine.</w:t>
      </w:r>
    </w:p>
    <w:p w:rsidR="00AB2DEE" w:rsidRPr="00BC00CC" w:rsidRDefault="00AB2DEE" w:rsidP="00AB2DEE">
      <w:pPr>
        <w:pStyle w:val="janja"/>
        <w:spacing w:after="144"/>
        <w:jc w:val="both"/>
        <w:rPr>
          <w:rFonts w:asciiTheme="minorHAnsi" w:hAnsiTheme="minorHAnsi" w:cstheme="minorHAnsi"/>
          <w:sz w:val="24"/>
          <w:szCs w:val="24"/>
          <w:lang w:val="hr-HR"/>
        </w:rPr>
      </w:pPr>
      <w:r w:rsidRPr="00BC00CC">
        <w:rPr>
          <w:rFonts w:asciiTheme="minorHAnsi" w:hAnsiTheme="minorHAnsi" w:cstheme="minorHAnsi"/>
          <w:spacing w:val="-4"/>
          <w:sz w:val="24"/>
          <w:szCs w:val="24"/>
          <w:lang w:val="hr-HR"/>
        </w:rPr>
        <w:t xml:space="preserve">Pješačke komunikacije unutar obuhvata Plana postavljene su u smjeru sjever-jug i izlaze na šetnicu. Unutar tog pojasa moguće je oblikovati stepenište uz uvjet da se nakon svakih cca 5 stuba formira odmorište. Prostor stepeništa  treba opremiti urbanom opremom (klupe na odmorištima, kante za otpatke, rasvjeta...). Popločenje treba izvesti od kamenih ploča, granitnih kocaka ili prefabriciranih betonskih elemenata jednostavnih oblika. </w:t>
      </w:r>
    </w:p>
    <w:p w:rsidR="00AB2DEE" w:rsidRPr="00BC00CC" w:rsidRDefault="00AB2DEE" w:rsidP="00AB2DEE">
      <w:pPr>
        <w:pStyle w:val="janja"/>
        <w:spacing w:after="144"/>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Uzdužni nagibi niveleta ovih prometnica odnosno komunikacija s obzirom na namjenu i na način polaganja na terenu veći su i iznose do 13.0%.</w:t>
      </w:r>
    </w:p>
    <w:p w:rsidR="00AB2DEE" w:rsidRPr="00BC00CC" w:rsidRDefault="00AB2DEE" w:rsidP="00AB2DEE">
      <w:pPr>
        <w:pStyle w:val="janja"/>
        <w:spacing w:after="144"/>
        <w:jc w:val="both"/>
        <w:rPr>
          <w:rFonts w:asciiTheme="minorHAnsi" w:hAnsiTheme="minorHAnsi" w:cstheme="minorHAnsi"/>
          <w:spacing w:val="-4"/>
          <w:sz w:val="24"/>
          <w:szCs w:val="24"/>
          <w:lang w:val="hr-HR"/>
        </w:rPr>
      </w:pPr>
      <w:r w:rsidRPr="00BC00CC">
        <w:rPr>
          <w:rFonts w:asciiTheme="minorHAnsi" w:hAnsiTheme="minorHAnsi" w:cstheme="minorHAnsi"/>
          <w:spacing w:val="-4"/>
          <w:sz w:val="24"/>
          <w:szCs w:val="24"/>
          <w:lang w:val="hr-HR"/>
        </w:rPr>
        <w:t>Na prometnicama za isključivo kretanje pješaka kao i na uličnim križanjima, na mjestima pješačkih prijelaza, potrebno je primijeniti mjere protiv stvaranja urbanističko – arhitektonskih barijera.</w:t>
      </w:r>
    </w:p>
    <w:p w:rsidR="00AB2DEE" w:rsidRPr="00BC00CC" w:rsidRDefault="00AB2DEE" w:rsidP="00AB2DEE">
      <w:pPr>
        <w:pStyle w:val="janja"/>
        <w:spacing w:before="2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Biciklističke staze</w:t>
      </w:r>
    </w:p>
    <w:p w:rsidR="00AB2DEE" w:rsidRPr="00BC00CC" w:rsidRDefault="00AB2DEE" w:rsidP="00AB2DEE">
      <w:pPr>
        <w:pStyle w:val="janja"/>
        <w:spacing w:after="144"/>
        <w:rPr>
          <w:rFonts w:asciiTheme="minorHAnsi" w:hAnsiTheme="minorHAnsi" w:cstheme="minorHAnsi"/>
          <w:sz w:val="24"/>
          <w:szCs w:val="24"/>
          <w:lang w:val="hr-HR"/>
        </w:rPr>
      </w:pPr>
      <w:r w:rsidRPr="00BC00CC">
        <w:rPr>
          <w:rFonts w:asciiTheme="minorHAnsi" w:hAnsiTheme="minorHAnsi" w:cstheme="minorHAnsi"/>
          <w:sz w:val="24"/>
          <w:szCs w:val="24"/>
          <w:lang w:val="hr-HR"/>
        </w:rPr>
        <w:t>Na području obuhvata Plana nije predviđena mogućnost biciklističkog prometa na izdvojenim biciklističkim stazama.</w:t>
      </w:r>
    </w:p>
    <w:p w:rsidR="00AB2DEE" w:rsidRPr="00BC00CC" w:rsidRDefault="00AB2DEE" w:rsidP="00AB2DEE">
      <w:pPr>
        <w:pStyle w:val="janja"/>
        <w:spacing w:before="24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Javni gradski prijevoz</w:t>
      </w:r>
    </w:p>
    <w:p w:rsidR="006A35D3" w:rsidRPr="00BC00CC" w:rsidRDefault="00AB2DEE" w:rsidP="00AB2DEE">
      <w:pPr>
        <w:pStyle w:val="janja"/>
        <w:spacing w:after="144"/>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Javni autobusni prijevoz putnika odvijat će se isključivo na državnoj cesti na dionici Ložišća – Sutivan – Supetar. U tu svrhu Planom je predviđeno uređeno autobusno stajalište (ugibalište) kako je to prikazano na kartografskom prikazu br. 2 ‘Promet’. Na prometnicama unutar obuhvata Plana nije predviđeno odvijanje javnog prijevoza putnika. </w:t>
      </w:r>
    </w:p>
    <w:p w:rsidR="001D6A62" w:rsidRDefault="001D6A62" w:rsidP="00AB2DEE">
      <w:pPr>
        <w:pStyle w:val="janja"/>
        <w:spacing w:before="120" w:after="120"/>
        <w:rPr>
          <w:rFonts w:asciiTheme="minorHAnsi" w:hAnsiTheme="minorHAnsi" w:cstheme="minorHAnsi"/>
          <w:sz w:val="24"/>
          <w:szCs w:val="24"/>
          <w:lang w:val="hr-HR"/>
        </w:rPr>
      </w:pPr>
    </w:p>
    <w:p w:rsidR="001D6A62" w:rsidRDefault="001D6A62" w:rsidP="00AB2DEE">
      <w:pPr>
        <w:pStyle w:val="janja"/>
        <w:spacing w:before="120" w:after="120"/>
        <w:rPr>
          <w:rFonts w:asciiTheme="minorHAnsi" w:hAnsiTheme="minorHAnsi" w:cstheme="minorHAnsi"/>
          <w:sz w:val="24"/>
          <w:szCs w:val="24"/>
          <w:lang w:val="hr-HR"/>
        </w:rPr>
      </w:pPr>
    </w:p>
    <w:p w:rsidR="001D6A62" w:rsidRDefault="001D6A62" w:rsidP="00AB2DEE">
      <w:pPr>
        <w:pStyle w:val="janja"/>
        <w:spacing w:before="120" w:after="120"/>
        <w:rPr>
          <w:rFonts w:asciiTheme="minorHAnsi" w:hAnsiTheme="minorHAnsi" w:cstheme="minorHAnsi"/>
          <w:sz w:val="24"/>
          <w:szCs w:val="24"/>
          <w:lang w:val="hr-HR"/>
        </w:rPr>
      </w:pPr>
    </w:p>
    <w:p w:rsidR="001D6A62" w:rsidRDefault="001D6A62" w:rsidP="00AB2DEE">
      <w:pPr>
        <w:pStyle w:val="janja"/>
        <w:spacing w:before="120" w:after="120"/>
        <w:rPr>
          <w:rFonts w:asciiTheme="minorHAnsi" w:hAnsiTheme="minorHAnsi" w:cstheme="minorHAnsi"/>
          <w:sz w:val="24"/>
          <w:szCs w:val="24"/>
          <w:lang w:val="hr-HR"/>
        </w:rPr>
      </w:pPr>
    </w:p>
    <w:p w:rsidR="001D6A62" w:rsidRDefault="001D6A62" w:rsidP="00AB2DEE">
      <w:pPr>
        <w:pStyle w:val="janja"/>
        <w:spacing w:before="120" w:after="120"/>
        <w:rPr>
          <w:rFonts w:asciiTheme="minorHAnsi" w:hAnsiTheme="minorHAnsi" w:cstheme="minorHAnsi"/>
          <w:sz w:val="24"/>
          <w:szCs w:val="24"/>
          <w:lang w:val="hr-HR"/>
        </w:rPr>
      </w:pPr>
    </w:p>
    <w:p w:rsidR="001D6A62" w:rsidRPr="00AB2DEE" w:rsidRDefault="001D6A62" w:rsidP="00AB2DEE">
      <w:pPr>
        <w:pStyle w:val="janja"/>
        <w:spacing w:before="120" w:after="120"/>
        <w:rPr>
          <w:rFonts w:cs="Arial"/>
          <w:sz w:val="24"/>
          <w:szCs w:val="24"/>
          <w:lang w:val="hr-HR"/>
        </w:rPr>
      </w:pPr>
    </w:p>
    <w:p w:rsidR="00AB2DEE" w:rsidRPr="00BC00CC" w:rsidRDefault="00AB2DEE" w:rsidP="00AB2DEE">
      <w:pPr>
        <w:pStyle w:val="janja"/>
        <w:spacing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lastRenderedPageBreak/>
        <w:t>5.1.2. Trgovi i druge veće pješačke površine</w:t>
      </w:r>
    </w:p>
    <w:p w:rsidR="00AB2DEE" w:rsidRPr="00BC00CC" w:rsidRDefault="00AB2DEE" w:rsidP="00AB2DEE">
      <w:pPr>
        <w:pStyle w:val="Caption"/>
        <w:tabs>
          <w:tab w:val="num" w:pos="426"/>
        </w:tabs>
        <w:ind w:left="426"/>
        <w:rPr>
          <w:rFonts w:asciiTheme="minorHAnsi" w:hAnsiTheme="minorHAnsi" w:cstheme="minorHAnsi"/>
          <w:szCs w:val="24"/>
        </w:rPr>
      </w:pPr>
    </w:p>
    <w:p w:rsidR="00AB2DEE" w:rsidRPr="00BC00CC" w:rsidRDefault="00AB2DEE" w:rsidP="007A1002">
      <w:pPr>
        <w:pStyle w:val="Caption"/>
        <w:tabs>
          <w:tab w:val="num" w:pos="426"/>
        </w:tabs>
        <w:jc w:val="left"/>
        <w:rPr>
          <w:rFonts w:asciiTheme="minorHAnsi" w:hAnsiTheme="minorHAnsi" w:cstheme="minorHAnsi"/>
          <w:szCs w:val="24"/>
        </w:rPr>
      </w:pPr>
      <w:r w:rsidRPr="00BC00CC">
        <w:rPr>
          <w:rFonts w:asciiTheme="minorHAnsi" w:hAnsiTheme="minorHAnsi" w:cstheme="minorHAnsi"/>
          <w:szCs w:val="24"/>
        </w:rPr>
        <w:t xml:space="preserve">Članak </w:t>
      </w:r>
      <w:r w:rsidR="00D8398D" w:rsidRPr="00BC00CC">
        <w:rPr>
          <w:rFonts w:asciiTheme="minorHAnsi" w:hAnsiTheme="minorHAnsi" w:cstheme="minorHAnsi"/>
          <w:szCs w:val="24"/>
        </w:rPr>
        <w:t>18</w:t>
      </w:r>
      <w:r w:rsidRPr="00BC00CC">
        <w:rPr>
          <w:rFonts w:asciiTheme="minorHAnsi" w:hAnsiTheme="minorHAnsi" w:cstheme="minorHAnsi"/>
          <w:szCs w:val="24"/>
        </w:rPr>
        <w:t>.</w:t>
      </w:r>
    </w:p>
    <w:p w:rsidR="007A1002" w:rsidRPr="00BC00CC" w:rsidRDefault="007A1002" w:rsidP="007A1002">
      <w:pPr>
        <w:numPr>
          <w:ilvl w:val="0"/>
          <w:numId w:val="0"/>
        </w:numPr>
        <w:rPr>
          <w:rFonts w:asciiTheme="minorHAnsi" w:hAnsiTheme="minorHAnsi" w:cstheme="minorHAnsi"/>
          <w:sz w:val="24"/>
          <w:szCs w:val="24"/>
          <w:lang w:val="hr-HR"/>
        </w:rPr>
      </w:pPr>
    </w:p>
    <w:p w:rsidR="007A1002" w:rsidRPr="00BC00CC" w:rsidRDefault="007A1002" w:rsidP="007A1002">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19. mijenja se i sada glasi:</w:t>
      </w:r>
    </w:p>
    <w:p w:rsidR="00AB2DEE" w:rsidRPr="00BC00CC" w:rsidRDefault="00AB2DEE" w:rsidP="00AB2DEE">
      <w:pPr>
        <w:pStyle w:val="janja"/>
        <w:spacing w:before="120" w:after="120"/>
        <w:rPr>
          <w:rFonts w:asciiTheme="minorHAnsi" w:hAnsiTheme="minorHAnsi" w:cstheme="minorHAnsi"/>
          <w:sz w:val="24"/>
          <w:szCs w:val="24"/>
          <w:lang w:val="hr-HR"/>
        </w:rPr>
      </w:pPr>
      <w:r w:rsidRPr="00BC00CC">
        <w:rPr>
          <w:rFonts w:asciiTheme="minorHAnsi" w:hAnsiTheme="minorHAnsi" w:cstheme="minorHAnsi"/>
          <w:sz w:val="24"/>
          <w:szCs w:val="24"/>
          <w:lang w:val="hr-HR"/>
        </w:rPr>
        <w:t>Pješačke površine u planu su prikazane na kartografskom prikazu br. 2 ‘Promet’.</w:t>
      </w:r>
    </w:p>
    <w:p w:rsidR="00AB2DEE" w:rsidRPr="00BC00CC" w:rsidRDefault="00AB2DEE" w:rsidP="00AB2DEE">
      <w:pPr>
        <w:pStyle w:val="janja"/>
        <w:spacing w:before="120" w:after="120"/>
        <w:rPr>
          <w:rFonts w:asciiTheme="minorHAnsi" w:hAnsiTheme="minorHAnsi" w:cstheme="minorHAnsi"/>
          <w:sz w:val="24"/>
          <w:szCs w:val="24"/>
          <w:lang w:val="hr-HR"/>
        </w:rPr>
      </w:pPr>
      <w:r w:rsidRPr="00BC00CC">
        <w:rPr>
          <w:rFonts w:asciiTheme="minorHAnsi" w:hAnsiTheme="minorHAnsi" w:cstheme="minorHAnsi"/>
          <w:sz w:val="24"/>
          <w:szCs w:val="24"/>
          <w:lang w:val="hr-HR"/>
        </w:rPr>
        <w:t>Na području obuhvata Plana nisu predviđeni trgovi.</w:t>
      </w:r>
    </w:p>
    <w:p w:rsidR="00AB2DEE" w:rsidRPr="00BC00CC" w:rsidRDefault="00AB2DEE" w:rsidP="00AB2DEE">
      <w:pPr>
        <w:pStyle w:val="janja"/>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Veće pješačke površine odnosno trgovi, s obzirom na urbani karakter prostora i predviđen tip sadržaja ne smatraju se potrebnim i na području Plana nisu predviđene.</w:t>
      </w:r>
    </w:p>
    <w:p w:rsidR="00AB2DEE" w:rsidRPr="00BC00CC" w:rsidRDefault="00AB2DEE" w:rsidP="00AB2DEE">
      <w:pPr>
        <w:pStyle w:val="janja"/>
        <w:spacing w:before="120" w:after="120"/>
        <w:rPr>
          <w:rFonts w:asciiTheme="minorHAnsi" w:hAnsiTheme="minorHAnsi" w:cstheme="minorHAnsi"/>
          <w:sz w:val="24"/>
          <w:szCs w:val="24"/>
          <w:lang w:val="hr-HR"/>
        </w:rPr>
      </w:pPr>
      <w:r w:rsidRPr="00BC00CC">
        <w:rPr>
          <w:rFonts w:asciiTheme="minorHAnsi" w:hAnsiTheme="minorHAnsi" w:cstheme="minorHAnsi"/>
          <w:sz w:val="24"/>
          <w:szCs w:val="24"/>
          <w:lang w:val="hr-HR"/>
        </w:rPr>
        <w:t>Za kretanje pješaka, na području obuhvata Plana, predviđene su tri kategorije površina:</w:t>
      </w:r>
    </w:p>
    <w:p w:rsidR="00AB2DEE" w:rsidRPr="00BC00CC" w:rsidRDefault="00AB2DEE" w:rsidP="00AB2DEE">
      <w:pPr>
        <w:pStyle w:val="janja"/>
        <w:numPr>
          <w:ilvl w:val="0"/>
          <w:numId w:val="13"/>
        </w:numPr>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pješački nogostupi uz kolnike ulica </w:t>
      </w:r>
    </w:p>
    <w:p w:rsidR="00AB2DEE" w:rsidRPr="00BC00CC" w:rsidRDefault="00AB2DEE" w:rsidP="00AB2DEE">
      <w:pPr>
        <w:pStyle w:val="janja"/>
        <w:numPr>
          <w:ilvl w:val="0"/>
          <w:numId w:val="13"/>
        </w:numPr>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kolno – pješačke prometnice </w:t>
      </w:r>
    </w:p>
    <w:p w:rsidR="00AB2DEE" w:rsidRPr="00BC00CC" w:rsidRDefault="00AB2DEE" w:rsidP="00AB2DEE">
      <w:pPr>
        <w:pStyle w:val="janja"/>
        <w:numPr>
          <w:ilvl w:val="0"/>
          <w:numId w:val="13"/>
        </w:numPr>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pješačke površine </w:t>
      </w:r>
    </w:p>
    <w:p w:rsidR="00AB2DEE" w:rsidRPr="007A1002" w:rsidRDefault="00AB2DEE" w:rsidP="00AB2DEE">
      <w:pPr>
        <w:pStyle w:val="BodyText"/>
        <w:jc w:val="both"/>
        <w:rPr>
          <w:rFonts w:ascii="Arial" w:hAnsi="Arial"/>
          <w:sz w:val="22"/>
          <w:lang w:val="hr-HR"/>
        </w:rPr>
      </w:pPr>
      <w:r w:rsidRPr="007A1002">
        <w:rPr>
          <w:rFonts w:ascii="Arial" w:hAnsi="Arial"/>
          <w:sz w:val="22"/>
          <w:lang w:val="hr-HR"/>
        </w:rPr>
        <w:t>Pješačke površine su formirane kao nogostupi (osi 1,2,3 i 4), kao kolno-pješačke prometnice (osi 5,6,7,8,9,10a,10b, 11,12 i 13).</w:t>
      </w:r>
    </w:p>
    <w:p w:rsidR="00AB2DEE" w:rsidRPr="007A1002" w:rsidRDefault="00AB2DEE" w:rsidP="00AB2DEE">
      <w:pPr>
        <w:pStyle w:val="janja"/>
        <w:spacing w:after="120"/>
        <w:jc w:val="both"/>
        <w:rPr>
          <w:lang w:val="hr-HR"/>
        </w:rPr>
      </w:pPr>
      <w:r w:rsidRPr="007A1002">
        <w:rPr>
          <w:lang w:val="hr-HR"/>
        </w:rPr>
        <w:t xml:space="preserve">Slobodna širina pješačkih nogostupa odnosno pješačkih komunikacija ne smije se izvesti u širini manjoj od 1,50 m. </w:t>
      </w:r>
    </w:p>
    <w:p w:rsidR="00AB2DEE" w:rsidRPr="007A1002" w:rsidRDefault="00AB2DEE" w:rsidP="00AB2DEE">
      <w:pPr>
        <w:pStyle w:val="BodyText"/>
        <w:jc w:val="both"/>
        <w:rPr>
          <w:rFonts w:ascii="Arial" w:hAnsi="Arial"/>
          <w:sz w:val="22"/>
          <w:lang w:val="hr-HR"/>
        </w:rPr>
      </w:pPr>
      <w:r w:rsidRPr="007A1002">
        <w:rPr>
          <w:rFonts w:ascii="Arial" w:hAnsi="Arial"/>
          <w:sz w:val="22"/>
          <w:lang w:val="hr-HR"/>
        </w:rPr>
        <w:t>Nogostupe je potrebno izvesti s izdignutim rubnjacima, te ih površinski obraditi asfaltbetonskim zastorom ili predgotovljenim betonskim elementima. Idejnim projektima za pojedine dionice ulica i pješačkih površina potrebno je definirati rješenja prihvatljiva za korištenje osobama smanjenje pokretljivosti što uključuje obvezatnu izvedbu rampa za invalidska ili dječja kolica uza sve pješačke prijelaze.</w:t>
      </w:r>
    </w:p>
    <w:p w:rsidR="00AB2DEE" w:rsidRPr="007A1002" w:rsidRDefault="00AB2DEE" w:rsidP="00AB2DEE">
      <w:pPr>
        <w:pStyle w:val="BodyText"/>
        <w:jc w:val="both"/>
        <w:rPr>
          <w:rFonts w:ascii="Arial" w:hAnsi="Arial"/>
          <w:sz w:val="22"/>
          <w:lang w:val="hr-HR"/>
        </w:rPr>
      </w:pPr>
      <w:r w:rsidRPr="007A1002">
        <w:rPr>
          <w:rFonts w:ascii="Arial" w:hAnsi="Arial"/>
          <w:sz w:val="22"/>
          <w:lang w:val="hr-HR"/>
        </w:rPr>
        <w:t>Na svim pješačkim površinama potrebno je osigurati javnu rasvjetu i riješiti površinsku odvodnju oborinskih voda.</w:t>
      </w:r>
    </w:p>
    <w:p w:rsidR="00315132" w:rsidRDefault="00315132">
      <w:pPr>
        <w:pStyle w:val="janja"/>
        <w:spacing w:after="144"/>
        <w:rPr>
          <w:b/>
          <w:lang w:val="hr-HR"/>
        </w:rPr>
      </w:pPr>
    </w:p>
    <w:p w:rsidR="006A35D3" w:rsidRDefault="006A35D3">
      <w:pPr>
        <w:pStyle w:val="janja"/>
        <w:spacing w:after="144"/>
        <w:rPr>
          <w:b/>
          <w:lang w:val="hr-HR"/>
        </w:rPr>
      </w:pPr>
    </w:p>
    <w:p w:rsidR="00315132" w:rsidRPr="00FA353E" w:rsidRDefault="00315132">
      <w:pPr>
        <w:pStyle w:val="janja"/>
        <w:spacing w:after="144"/>
        <w:rPr>
          <w:rFonts w:ascii="Calibri" w:hAnsi="Calibri" w:cs="Calibri"/>
          <w:b/>
          <w:sz w:val="24"/>
          <w:szCs w:val="24"/>
          <w:lang w:val="hr-HR"/>
        </w:rPr>
      </w:pPr>
      <w:r w:rsidRPr="00FA353E">
        <w:rPr>
          <w:rFonts w:ascii="Calibri" w:hAnsi="Calibri" w:cs="Calibri"/>
          <w:b/>
          <w:sz w:val="24"/>
          <w:szCs w:val="24"/>
          <w:lang w:val="hr-HR"/>
        </w:rPr>
        <w:t xml:space="preserve">5.2. Uvjeti gradnje telekomunikacijske mreže </w:t>
      </w:r>
    </w:p>
    <w:p w:rsidR="00315132" w:rsidRPr="00FA353E" w:rsidRDefault="00315132">
      <w:pPr>
        <w:pStyle w:val="Caption"/>
        <w:tabs>
          <w:tab w:val="num" w:pos="426"/>
        </w:tabs>
        <w:ind w:left="426"/>
        <w:rPr>
          <w:rFonts w:ascii="Calibri" w:hAnsi="Calibri" w:cs="Calibri"/>
          <w:szCs w:val="24"/>
        </w:rPr>
      </w:pPr>
    </w:p>
    <w:p w:rsidR="00315132" w:rsidRDefault="00315132" w:rsidP="007A1002">
      <w:pPr>
        <w:pStyle w:val="Caption"/>
        <w:tabs>
          <w:tab w:val="num" w:pos="426"/>
        </w:tabs>
        <w:jc w:val="left"/>
        <w:rPr>
          <w:rFonts w:ascii="Calibri" w:hAnsi="Calibri" w:cs="Calibri"/>
          <w:szCs w:val="24"/>
        </w:rPr>
      </w:pPr>
      <w:r w:rsidRPr="002B03F4">
        <w:rPr>
          <w:rFonts w:ascii="Calibri" w:hAnsi="Calibri" w:cs="Calibri"/>
          <w:szCs w:val="24"/>
        </w:rPr>
        <w:t>Članak</w:t>
      </w:r>
      <w:r w:rsidR="00D8398D">
        <w:rPr>
          <w:rFonts w:ascii="Calibri" w:hAnsi="Calibri" w:cs="Calibri"/>
          <w:szCs w:val="24"/>
        </w:rPr>
        <w:t>19</w:t>
      </w:r>
      <w:r w:rsidRPr="002B03F4">
        <w:rPr>
          <w:rFonts w:ascii="Calibri" w:hAnsi="Calibri" w:cs="Calibri"/>
          <w:szCs w:val="24"/>
        </w:rPr>
        <w:t>.</w:t>
      </w:r>
    </w:p>
    <w:p w:rsidR="007A1002" w:rsidRDefault="007A1002" w:rsidP="007A1002">
      <w:pPr>
        <w:numPr>
          <w:ilvl w:val="0"/>
          <w:numId w:val="0"/>
        </w:numPr>
        <w:rPr>
          <w:lang w:val="hr-HR"/>
        </w:rPr>
      </w:pPr>
    </w:p>
    <w:p w:rsidR="007A1002" w:rsidRPr="00BC00CC" w:rsidRDefault="007A1002" w:rsidP="007A1002">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20. mijenja se i sada glasi:</w:t>
      </w:r>
    </w:p>
    <w:p w:rsidR="007A1002" w:rsidRPr="00BC00CC" w:rsidRDefault="007A1002" w:rsidP="002B03F4">
      <w:pPr>
        <w:numPr>
          <w:ilvl w:val="0"/>
          <w:numId w:val="0"/>
        </w:numPr>
        <w:tabs>
          <w:tab w:val="left" w:pos="0"/>
        </w:tabs>
        <w:ind w:right="23"/>
        <w:jc w:val="both"/>
        <w:rPr>
          <w:rFonts w:asciiTheme="minorHAnsi" w:hAnsiTheme="minorHAnsi" w:cstheme="minorHAnsi"/>
          <w:color w:val="FF0000"/>
          <w:sz w:val="24"/>
          <w:szCs w:val="24"/>
          <w:lang w:val="hr-HR" w:eastAsia="hr-HR"/>
        </w:rPr>
      </w:pPr>
    </w:p>
    <w:p w:rsidR="002B03F4" w:rsidRPr="00BC00CC"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 xml:space="preserve">Za spajanje objekata na postojeću telekomunikacijsku mrežu treba izvršiti slijedeće: </w:t>
      </w:r>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potrebno je osigurati koridore za trasu elektroničke komunikacijske infrastrukture EKI.</w:t>
      </w:r>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planirani priključak izvesti u najbližem postojećem kabelskom zdencu što bliže komunikacijskom čvorištu.</w:t>
      </w:r>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koridore telekomunikacijske infrastrukture planirati unutar nogostupa koridora kolnih i kolno-pješačkih prometnica.</w:t>
      </w:r>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potrebno je voditi računa o postojećim trasama.</w:t>
      </w:r>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pri planiranju odabrati trasu udaljeno u odnosu na elektroenergetske kabele.</w:t>
      </w:r>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 xml:space="preserve">glavne pravce izvesti sa NxPVC Φ110mm + NxPEHD Φ </w:t>
      </w:r>
      <w:smartTag w:uri="urn:schemas-microsoft-com:office:smarttags" w:element="metricconverter">
        <w:smartTagPr>
          <w:attr w:name="ProductID" w:val="50 mm"/>
        </w:smartTagPr>
        <w:r w:rsidRPr="00BC00CC">
          <w:rPr>
            <w:rFonts w:asciiTheme="minorHAnsi" w:hAnsiTheme="minorHAnsi" w:cstheme="minorHAnsi"/>
            <w:sz w:val="24"/>
            <w:szCs w:val="24"/>
            <w:lang w:val="hr-HR" w:eastAsia="hr-HR"/>
          </w:rPr>
          <w:t>50 mm</w:t>
        </w:r>
      </w:smartTag>
    </w:p>
    <w:p w:rsidR="002B03F4" w:rsidRPr="00BC00CC"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privode objektima izvesti sa cijevima  2xPEHD Φ 50 mm</w:t>
      </w:r>
    </w:p>
    <w:p w:rsidR="002B03F4" w:rsidRPr="00BC00CC"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p>
    <w:p w:rsidR="002B03F4" w:rsidRPr="00BC00CC"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lastRenderedPageBreak/>
        <w:t>Pri paralelnom vođenju, približavanju i križanju  EKI s ostalim infrastrukturnim instalacijama poštivati propisane minimalne udaljenosti</w:t>
      </w:r>
    </w:p>
    <w:p w:rsidR="002B03F4" w:rsidRPr="00BC00CC" w:rsidRDefault="002B03F4" w:rsidP="002B03F4">
      <w:pPr>
        <w:numPr>
          <w:ilvl w:val="0"/>
          <w:numId w:val="0"/>
        </w:numPr>
        <w:tabs>
          <w:tab w:val="left" w:pos="0"/>
        </w:tabs>
        <w:ind w:right="23"/>
        <w:jc w:val="both"/>
        <w:rPr>
          <w:rFonts w:asciiTheme="minorHAnsi" w:hAnsiTheme="minorHAnsi" w:cstheme="minorHAnsi"/>
          <w:b/>
          <w:sz w:val="24"/>
          <w:szCs w:val="24"/>
          <w:lang w:val="hr-HR"/>
        </w:rPr>
      </w:pPr>
    </w:p>
    <w:p w:rsidR="002B03F4" w:rsidRPr="00BC00CC"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 xml:space="preserve">Dubina rova u kojega se polažu cijevi iznosi </w:t>
      </w:r>
      <w:smartTag w:uri="urn:schemas-microsoft-com:office:smarttags" w:element="metricconverter">
        <w:smartTagPr>
          <w:attr w:name="ProductID" w:val="0.8 m"/>
        </w:smartTagPr>
        <w:r w:rsidRPr="00BC00CC">
          <w:rPr>
            <w:rFonts w:asciiTheme="minorHAnsi" w:hAnsiTheme="minorHAnsi" w:cstheme="minorHAnsi"/>
            <w:sz w:val="24"/>
            <w:szCs w:val="24"/>
            <w:lang w:val="hr-HR" w:eastAsia="hr-HR"/>
          </w:rPr>
          <w:t>0.8 m</w:t>
        </w:r>
      </w:smartTag>
      <w:r w:rsidRPr="00BC00CC">
        <w:rPr>
          <w:rFonts w:asciiTheme="minorHAnsi" w:hAnsiTheme="minorHAnsi" w:cstheme="minorHAnsi"/>
          <w:sz w:val="24"/>
          <w:szCs w:val="24"/>
          <w:lang w:val="hr-HR" w:eastAsia="hr-HR"/>
        </w:rPr>
        <w:t xml:space="preserve"> u nogostupu i zemljanom terenu, dok je dubina ispod kolnika 1,0m do1.2m od konačnog nivoa asfalta ili podloge. Cijevi se polažu u rov na posteljicu pijeska, te nakon polaganja zaspe pijeskom visine min 10 cm. Zatrpavanje se dalje nastavlja materijalom iskopa do konačne nivelete terena. Širina koridora za polaganje cijevi distributivne telekomunikacijske kabelske kanalizacije iznosi oko 0,4 do </w:t>
      </w:r>
      <w:smartTag w:uri="urn:schemas-microsoft-com:office:smarttags" w:element="metricconverter">
        <w:smartTagPr>
          <w:attr w:name="ProductID" w:val="0,5 m"/>
        </w:smartTagPr>
        <w:r w:rsidRPr="00BC00CC">
          <w:rPr>
            <w:rFonts w:asciiTheme="minorHAnsi" w:hAnsiTheme="minorHAnsi" w:cstheme="minorHAnsi"/>
            <w:sz w:val="24"/>
            <w:szCs w:val="24"/>
            <w:lang w:val="hr-HR" w:eastAsia="hr-HR"/>
          </w:rPr>
          <w:t>0,5 m</w:t>
        </w:r>
      </w:smartTag>
      <w:r w:rsidRPr="00BC00CC">
        <w:rPr>
          <w:rFonts w:asciiTheme="minorHAnsi" w:hAnsiTheme="minorHAnsi" w:cstheme="minorHAnsi"/>
          <w:sz w:val="24"/>
          <w:szCs w:val="24"/>
          <w:lang w:val="hr-HR" w:eastAsia="hr-HR"/>
        </w:rPr>
        <w:t>.</w:t>
      </w:r>
    </w:p>
    <w:p w:rsidR="002B03F4" w:rsidRPr="00BC00CC"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p>
    <w:p w:rsidR="002B03F4" w:rsidRPr="00BC00CC"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BC00CC">
        <w:rPr>
          <w:rFonts w:asciiTheme="minorHAnsi" w:hAnsiTheme="minorHAnsi" w:cstheme="minorHAnsi"/>
          <w:sz w:val="24"/>
          <w:szCs w:val="24"/>
          <w:lang w:val="hr-HR" w:eastAsia="hr-HR"/>
        </w:rPr>
        <w:t>-Na čvornim mjestima i skretanjima postaviti tipske montažne kabelske zdence prema zahtjevima vlasnika telekomunikacijske infrastrukture, s originalnim poklopcima za dozvoljene pritiske prema mjestu ugradnje. Gdje se očekuje promet motornih vozila ugraditi poklopce nosivosti 400 kN, a ostale nosivosti min 125 kN.</w:t>
      </w:r>
    </w:p>
    <w:p w:rsidR="002B03F4" w:rsidRDefault="002B03F4">
      <w:pPr>
        <w:pStyle w:val="janja"/>
        <w:spacing w:before="120" w:after="120"/>
        <w:rPr>
          <w:rFonts w:asciiTheme="minorHAnsi" w:hAnsiTheme="minorHAnsi" w:cstheme="minorHAnsi"/>
          <w:strike/>
          <w:lang w:val="hr-HR"/>
        </w:rPr>
      </w:pPr>
    </w:p>
    <w:p w:rsidR="00BC00CC" w:rsidRPr="00BC00CC" w:rsidRDefault="00BC00CC">
      <w:pPr>
        <w:pStyle w:val="janja"/>
        <w:spacing w:before="120" w:after="120"/>
        <w:rPr>
          <w:rFonts w:asciiTheme="minorHAnsi" w:hAnsiTheme="minorHAnsi" w:cstheme="minorHAnsi"/>
          <w:strike/>
          <w:lang w:val="hr-HR"/>
        </w:rPr>
      </w:pPr>
    </w:p>
    <w:p w:rsidR="00315132" w:rsidRPr="00FA353E" w:rsidRDefault="00315132">
      <w:pPr>
        <w:pStyle w:val="janja"/>
        <w:spacing w:after="144"/>
        <w:rPr>
          <w:rFonts w:ascii="Calibri" w:hAnsi="Calibri" w:cs="Calibri"/>
          <w:b/>
          <w:sz w:val="24"/>
          <w:szCs w:val="24"/>
          <w:lang w:val="hr-HR"/>
        </w:rPr>
      </w:pPr>
      <w:r w:rsidRPr="00FA353E">
        <w:rPr>
          <w:rFonts w:ascii="Calibri" w:hAnsi="Calibri" w:cs="Calibri"/>
          <w:b/>
          <w:sz w:val="24"/>
          <w:szCs w:val="24"/>
          <w:lang w:val="hr-HR"/>
        </w:rPr>
        <w:t xml:space="preserve">5.3. Uvjeti gradnje komunalne infrastrukturne mreže </w:t>
      </w:r>
    </w:p>
    <w:p w:rsidR="00315132" w:rsidRPr="00FA353E" w:rsidRDefault="00315132">
      <w:pPr>
        <w:pStyle w:val="Caption"/>
        <w:tabs>
          <w:tab w:val="num" w:pos="426"/>
        </w:tabs>
        <w:ind w:left="426"/>
        <w:rPr>
          <w:rFonts w:ascii="Calibri" w:hAnsi="Calibri" w:cs="Calibri"/>
          <w:szCs w:val="24"/>
        </w:rPr>
      </w:pPr>
    </w:p>
    <w:p w:rsidR="00315132" w:rsidRDefault="00315132" w:rsidP="007A1002">
      <w:pPr>
        <w:pStyle w:val="Caption"/>
        <w:tabs>
          <w:tab w:val="num" w:pos="426"/>
        </w:tabs>
        <w:jc w:val="left"/>
        <w:rPr>
          <w:rFonts w:ascii="Calibri" w:hAnsi="Calibri" w:cs="Calibri"/>
          <w:szCs w:val="24"/>
        </w:rPr>
      </w:pPr>
      <w:r w:rsidRPr="001F763E">
        <w:rPr>
          <w:rFonts w:ascii="Calibri" w:hAnsi="Calibri" w:cs="Calibri"/>
          <w:szCs w:val="24"/>
        </w:rPr>
        <w:t>Članak</w:t>
      </w:r>
      <w:r w:rsidR="0088421F">
        <w:rPr>
          <w:rFonts w:ascii="Calibri" w:hAnsi="Calibri" w:cs="Calibri"/>
          <w:szCs w:val="24"/>
        </w:rPr>
        <w:t xml:space="preserve"> 20</w:t>
      </w:r>
      <w:r w:rsidRPr="001F763E">
        <w:rPr>
          <w:rFonts w:ascii="Calibri" w:hAnsi="Calibri" w:cs="Calibri"/>
          <w:szCs w:val="24"/>
        </w:rPr>
        <w:t>.</w:t>
      </w:r>
    </w:p>
    <w:p w:rsidR="007A1002" w:rsidRPr="00BC00CC" w:rsidRDefault="007A1002" w:rsidP="007A1002">
      <w:pPr>
        <w:numPr>
          <w:ilvl w:val="0"/>
          <w:numId w:val="0"/>
        </w:numPr>
        <w:rPr>
          <w:rFonts w:asciiTheme="minorHAnsi" w:hAnsiTheme="minorHAnsi" w:cstheme="minorHAnsi"/>
          <w:sz w:val="24"/>
          <w:szCs w:val="24"/>
          <w:lang w:val="hr-HR"/>
        </w:rPr>
      </w:pPr>
    </w:p>
    <w:p w:rsidR="007A1002" w:rsidRPr="00BC00CC" w:rsidRDefault="007A1002" w:rsidP="007A1002">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21. mijenja se i sada glasi:</w:t>
      </w:r>
    </w:p>
    <w:p w:rsidR="00315132" w:rsidRPr="00FA353E" w:rsidRDefault="00315132">
      <w:pPr>
        <w:pStyle w:val="janja"/>
        <w:spacing w:before="120" w:after="120"/>
        <w:rPr>
          <w:rFonts w:ascii="Calibri" w:hAnsi="Calibri" w:cs="Calibri"/>
          <w:sz w:val="24"/>
          <w:szCs w:val="24"/>
          <w:lang w:val="hr-HR"/>
        </w:rPr>
      </w:pPr>
      <w:r w:rsidRPr="00FA353E">
        <w:rPr>
          <w:rFonts w:ascii="Calibri" w:hAnsi="Calibri" w:cs="Calibri"/>
          <w:sz w:val="24"/>
          <w:szCs w:val="24"/>
          <w:lang w:val="hr-HR"/>
        </w:rPr>
        <w:t>Koridori komunalne infrastrukture planirani su unutar koridora kolnih i kolno-pješačkih prometnica.</w:t>
      </w:r>
    </w:p>
    <w:p w:rsidR="00315132" w:rsidRPr="00FA353E" w:rsidRDefault="00315132">
      <w:pPr>
        <w:pStyle w:val="janja"/>
        <w:spacing w:after="120"/>
        <w:rPr>
          <w:rFonts w:ascii="Calibri" w:hAnsi="Calibri" w:cs="Calibri"/>
          <w:sz w:val="24"/>
          <w:szCs w:val="24"/>
          <w:lang w:val="hr-HR"/>
        </w:rPr>
      </w:pPr>
      <w:r w:rsidRPr="00FA353E">
        <w:rPr>
          <w:rFonts w:ascii="Calibri" w:hAnsi="Calibri" w:cs="Calibri"/>
          <w:sz w:val="24"/>
          <w:szCs w:val="24"/>
          <w:lang w:val="hr-HR"/>
        </w:rPr>
        <w:t xml:space="preserve">Predviđeni su zatvoreni kanali, okruglog presjeka, koji duž trase imaju odgovarajuće šahte – okna sa pokrovnom pločom na koju se ugrađuje ljevano-željezni poklopac, vidljiv na prometnoj površini sa istom kotom nivelete, kao prometnica. </w:t>
      </w:r>
    </w:p>
    <w:p w:rsidR="00315132" w:rsidRDefault="00315132">
      <w:pPr>
        <w:pStyle w:val="janja"/>
        <w:spacing w:after="120"/>
        <w:rPr>
          <w:rFonts w:ascii="Calibri" w:hAnsi="Calibri" w:cs="Calibri"/>
          <w:sz w:val="24"/>
          <w:szCs w:val="24"/>
          <w:lang w:val="hr-HR"/>
        </w:rPr>
      </w:pPr>
      <w:r w:rsidRPr="00FA353E">
        <w:rPr>
          <w:rFonts w:ascii="Calibri" w:hAnsi="Calibri" w:cs="Calibri"/>
          <w:sz w:val="24"/>
          <w:szCs w:val="24"/>
          <w:lang w:val="hr-HR"/>
        </w:rPr>
        <w:t xml:space="preserve">Kod </w:t>
      </w:r>
      <w:r w:rsidRPr="007A1002">
        <w:rPr>
          <w:rFonts w:ascii="Calibri" w:hAnsi="Calibri" w:cs="Calibri"/>
          <w:sz w:val="24"/>
          <w:szCs w:val="24"/>
          <w:lang w:val="hr-HR"/>
        </w:rPr>
        <w:t xml:space="preserve">komunalne infrastrukture cijevi za vodoopskrbu su locirani u prometnici na udaljenost 1,00 m od ivičnjaka, sa dubinom ukopavanja </w:t>
      </w:r>
      <w:r w:rsidR="00B52D86" w:rsidRPr="007A1002">
        <w:rPr>
          <w:rFonts w:ascii="Calibri" w:hAnsi="Calibri" w:cs="Calibri"/>
          <w:sz w:val="24"/>
          <w:szCs w:val="24"/>
          <w:lang w:val="hr-HR"/>
        </w:rPr>
        <w:t xml:space="preserve">min </w:t>
      </w:r>
      <w:r w:rsidR="00FA353E" w:rsidRPr="007A1002">
        <w:rPr>
          <w:rFonts w:ascii="Calibri" w:hAnsi="Calibri" w:cs="Calibri"/>
          <w:sz w:val="24"/>
          <w:szCs w:val="24"/>
          <w:lang w:val="hr-HR"/>
        </w:rPr>
        <w:t xml:space="preserve">1,00 </w:t>
      </w:r>
      <w:r w:rsidRPr="007A1002">
        <w:rPr>
          <w:rFonts w:ascii="Calibri" w:hAnsi="Calibri" w:cs="Calibri"/>
          <w:sz w:val="24"/>
          <w:szCs w:val="24"/>
          <w:lang w:val="hr-HR"/>
        </w:rPr>
        <w:t xml:space="preserve">m  računajući od tjemena cijevi do nivelete prometnice, te </w:t>
      </w:r>
      <w:r w:rsidR="00FA353E" w:rsidRPr="007A1002">
        <w:rPr>
          <w:rFonts w:ascii="Calibri" w:hAnsi="Calibri" w:cs="Calibri"/>
          <w:sz w:val="24"/>
          <w:szCs w:val="24"/>
          <w:lang w:val="hr-HR"/>
        </w:rPr>
        <w:t xml:space="preserve">zasunskim otvorima </w:t>
      </w:r>
      <w:r w:rsidRPr="007A1002">
        <w:rPr>
          <w:rFonts w:ascii="Calibri" w:hAnsi="Calibri" w:cs="Calibri"/>
          <w:sz w:val="24"/>
          <w:szCs w:val="24"/>
          <w:lang w:val="hr-HR"/>
        </w:rPr>
        <w:t>u čvorovima. Planirani i postojeći cjevovodi pripadaju sustavu niske zone vodoopskrbe naselja Sutivan, sa vodspremom “Sutivan”, odnosno kotom dna 72,65 m.n.m.</w:t>
      </w:r>
    </w:p>
    <w:p w:rsidR="001D6A62" w:rsidRPr="001D6A62" w:rsidRDefault="001D6A62" w:rsidP="001D6A62">
      <w:pPr>
        <w:pStyle w:val="janja"/>
        <w:spacing w:after="120"/>
        <w:rPr>
          <w:rFonts w:ascii="Calibri" w:hAnsi="Calibri" w:cs="Calibri"/>
          <w:sz w:val="24"/>
          <w:szCs w:val="24"/>
          <w:lang w:val="hr-HR"/>
        </w:rPr>
      </w:pPr>
      <w:r w:rsidRPr="001D6A62">
        <w:rPr>
          <w:rFonts w:ascii="Calibri" w:hAnsi="Calibri" w:cs="Calibri"/>
          <w:sz w:val="24"/>
          <w:szCs w:val="24"/>
          <w:lang w:val="hr-HR"/>
        </w:rPr>
        <w:t>Prilikom izgradnje ili rekonstrukcije vodovodne mreže potrebno je osigurati najmanji propisani profil hidrantske mreže, potrebnu opremu i materijal i protupožarnu zaštitu sukladno propisima.</w:t>
      </w:r>
    </w:p>
    <w:p w:rsidR="001D6A62" w:rsidRPr="001D6A62" w:rsidRDefault="001D6A62" w:rsidP="001D6A62">
      <w:pPr>
        <w:pStyle w:val="janja"/>
        <w:spacing w:after="120"/>
        <w:rPr>
          <w:rFonts w:ascii="Calibri" w:hAnsi="Calibri" w:cs="Calibri"/>
          <w:sz w:val="24"/>
          <w:szCs w:val="24"/>
          <w:lang w:val="hr-HR"/>
        </w:rPr>
      </w:pPr>
      <w:r w:rsidRPr="001D6A62">
        <w:rPr>
          <w:rFonts w:ascii="Calibri" w:hAnsi="Calibri" w:cs="Calibri"/>
          <w:sz w:val="24"/>
          <w:szCs w:val="24"/>
          <w:lang w:val="hr-HR"/>
        </w:rPr>
        <w:t>Daljnjoj izgradnji novih kapaciteta (naročito turističkih) može se pristupiti tek po osiguranju adekvatne vodoopskrbe, a što će se konstatirati u suradnji s „Vodovodom“ Brač.</w:t>
      </w:r>
    </w:p>
    <w:p w:rsidR="001D6A62" w:rsidRDefault="00315132">
      <w:pPr>
        <w:pStyle w:val="janja"/>
        <w:spacing w:after="120"/>
        <w:rPr>
          <w:rFonts w:ascii="Calibri" w:hAnsi="Calibri" w:cs="Calibri"/>
          <w:sz w:val="24"/>
          <w:szCs w:val="24"/>
          <w:lang w:val="hr-HR"/>
        </w:rPr>
      </w:pPr>
      <w:r w:rsidRPr="007A1002">
        <w:rPr>
          <w:rFonts w:ascii="Calibri" w:hAnsi="Calibri" w:cs="Calibri"/>
          <w:sz w:val="24"/>
          <w:szCs w:val="24"/>
          <w:lang w:val="hr-HR"/>
        </w:rPr>
        <w:t xml:space="preserve">Odvodni kanali su locirani u osi prometnice, na dubini </w:t>
      </w:r>
      <w:r w:rsidR="00B52D86" w:rsidRPr="007A1002">
        <w:rPr>
          <w:rFonts w:ascii="Calibri" w:hAnsi="Calibri" w:cs="Calibri"/>
          <w:sz w:val="24"/>
          <w:szCs w:val="24"/>
          <w:lang w:val="hr-HR"/>
        </w:rPr>
        <w:t xml:space="preserve">min </w:t>
      </w:r>
      <w:r w:rsidR="00FA353E" w:rsidRPr="007A1002">
        <w:rPr>
          <w:rFonts w:ascii="Calibri" w:hAnsi="Calibri" w:cs="Calibri"/>
          <w:sz w:val="24"/>
          <w:szCs w:val="24"/>
          <w:lang w:val="hr-HR"/>
        </w:rPr>
        <w:t xml:space="preserve">1,30 </w:t>
      </w:r>
      <w:r w:rsidRPr="007A1002">
        <w:rPr>
          <w:rFonts w:ascii="Calibri" w:hAnsi="Calibri" w:cs="Calibri"/>
          <w:sz w:val="24"/>
          <w:szCs w:val="24"/>
          <w:lang w:val="hr-HR"/>
        </w:rPr>
        <w:t>m</w:t>
      </w:r>
      <w:r w:rsidRPr="00FA353E">
        <w:rPr>
          <w:rFonts w:ascii="Calibri" w:hAnsi="Calibri" w:cs="Calibri"/>
          <w:sz w:val="24"/>
          <w:szCs w:val="24"/>
          <w:lang w:val="hr-HR"/>
        </w:rPr>
        <w:t xml:space="preserve"> računajući od nivelete prometnice do tjemena cijevi, sa kontrolnim revizijskim oknima. Dozvoljava se translatorno pomjeranje dionica kanala, ukoliko se ne remeti usvojenu koncepciju, poštivajući koridore ostale infrastrukture. Također detaljnijim hidrauličkim proračunom, dozvoljena su manja odstupanja usvojenih presjeka pojedinih dionica. </w:t>
      </w:r>
    </w:p>
    <w:p w:rsidR="001D6A62" w:rsidRPr="001D6A62" w:rsidRDefault="001D6A62" w:rsidP="001D6A62">
      <w:pPr>
        <w:pStyle w:val="janja"/>
        <w:spacing w:after="120"/>
        <w:rPr>
          <w:rFonts w:ascii="Calibri" w:hAnsi="Calibri" w:cs="Calibri"/>
          <w:sz w:val="24"/>
          <w:szCs w:val="24"/>
          <w:lang w:val="hr-HR"/>
        </w:rPr>
      </w:pPr>
      <w:r w:rsidRPr="001D6A62">
        <w:rPr>
          <w:rFonts w:ascii="Calibri" w:hAnsi="Calibri" w:cs="Calibri"/>
          <w:sz w:val="24"/>
          <w:szCs w:val="24"/>
          <w:lang w:val="hr-HR"/>
        </w:rPr>
        <w:t>Sve otpadne vode treba prije ispuštanja u recipijent tako tretirati kako bi se uklonile sve štetne posljedice za okolinu, prirodu i recipijent. (more).</w:t>
      </w:r>
    </w:p>
    <w:p w:rsidR="001D6A62" w:rsidRDefault="001D6A62" w:rsidP="001D6A62">
      <w:pPr>
        <w:pStyle w:val="janja"/>
        <w:spacing w:after="120"/>
        <w:rPr>
          <w:rFonts w:ascii="Calibri" w:hAnsi="Calibri" w:cs="Calibri"/>
          <w:sz w:val="24"/>
          <w:szCs w:val="24"/>
          <w:lang w:val="hr-HR"/>
        </w:rPr>
      </w:pPr>
      <w:r w:rsidRPr="001D6A62">
        <w:rPr>
          <w:rFonts w:ascii="Calibri" w:hAnsi="Calibri" w:cs="Calibri"/>
          <w:sz w:val="24"/>
          <w:szCs w:val="24"/>
          <w:lang w:val="hr-HR"/>
        </w:rPr>
        <w:t>Treba predvidjeti 1. Stupanj pročišćavanja kojim će se, prema kategorizaciji, priobalno more zadržati na razini zahtjevane kategorije.</w:t>
      </w:r>
    </w:p>
    <w:p w:rsidR="00A76031" w:rsidRPr="001D6A62" w:rsidRDefault="00A76031" w:rsidP="001D6A62">
      <w:pPr>
        <w:pStyle w:val="janja"/>
        <w:spacing w:after="120"/>
        <w:rPr>
          <w:rFonts w:ascii="Calibri" w:hAnsi="Calibri" w:cs="Calibri"/>
          <w:sz w:val="24"/>
          <w:szCs w:val="24"/>
          <w:lang w:val="hr-HR"/>
        </w:rPr>
      </w:pPr>
    </w:p>
    <w:p w:rsidR="001D6A62" w:rsidRPr="001D6A62" w:rsidRDefault="001D6A62" w:rsidP="001D6A62">
      <w:pPr>
        <w:pStyle w:val="janja"/>
        <w:spacing w:after="120"/>
        <w:rPr>
          <w:rFonts w:ascii="Calibri" w:hAnsi="Calibri" w:cs="Calibri"/>
          <w:sz w:val="24"/>
          <w:szCs w:val="24"/>
          <w:lang w:val="hr-HR"/>
        </w:rPr>
      </w:pPr>
      <w:r w:rsidRPr="001D6A62">
        <w:rPr>
          <w:rFonts w:ascii="Calibri" w:hAnsi="Calibri" w:cs="Calibri"/>
          <w:sz w:val="24"/>
          <w:szCs w:val="24"/>
          <w:lang w:val="hr-HR"/>
        </w:rPr>
        <w:lastRenderedPageBreak/>
        <w:t xml:space="preserve">Potrebno je predvidjeti pročišćavanje oborinskih voda s većih javnih prometnih površina prije upuštanja u more, putem mastolova i pjeskolova.   </w:t>
      </w:r>
    </w:p>
    <w:p w:rsidR="00315132" w:rsidRPr="00FA353E" w:rsidRDefault="00315132">
      <w:pPr>
        <w:pStyle w:val="janja"/>
        <w:spacing w:after="120"/>
        <w:rPr>
          <w:rFonts w:ascii="Calibri" w:hAnsi="Calibri" w:cs="Calibri"/>
          <w:sz w:val="24"/>
          <w:szCs w:val="24"/>
          <w:lang w:val="hr-HR"/>
        </w:rPr>
      </w:pPr>
    </w:p>
    <w:p w:rsidR="00315132" w:rsidRPr="00FA353E" w:rsidRDefault="00315132">
      <w:pPr>
        <w:pStyle w:val="janja"/>
        <w:spacing w:after="120"/>
        <w:rPr>
          <w:rFonts w:ascii="Calibri" w:hAnsi="Calibri" w:cs="Calibri"/>
          <w:sz w:val="24"/>
          <w:szCs w:val="24"/>
          <w:lang w:val="hr-HR"/>
        </w:rPr>
      </w:pPr>
      <w:r w:rsidRPr="00FA353E">
        <w:rPr>
          <w:rFonts w:ascii="Calibri" w:hAnsi="Calibri" w:cs="Calibri"/>
          <w:sz w:val="24"/>
          <w:szCs w:val="24"/>
          <w:lang w:val="hr-HR"/>
        </w:rPr>
        <w:t>Usvojen je razdijelni sistem kanalizacije sa odvojenim odvođenjm fekalne i oborinske kanalizacije.</w:t>
      </w:r>
    </w:p>
    <w:p w:rsidR="00315132" w:rsidRDefault="00315132">
      <w:pPr>
        <w:pStyle w:val="Caption"/>
        <w:tabs>
          <w:tab w:val="num" w:pos="426"/>
        </w:tabs>
        <w:ind w:left="426"/>
        <w:rPr>
          <w:sz w:val="22"/>
        </w:rPr>
      </w:pPr>
    </w:p>
    <w:p w:rsidR="00315132" w:rsidRPr="00A35D38" w:rsidRDefault="00315132">
      <w:pPr>
        <w:pStyle w:val="janja"/>
        <w:spacing w:after="144"/>
        <w:rPr>
          <w:rFonts w:ascii="Calibri" w:hAnsi="Calibri" w:cs="Calibri"/>
          <w:b/>
          <w:sz w:val="24"/>
          <w:szCs w:val="24"/>
          <w:lang w:val="hr-HR"/>
        </w:rPr>
      </w:pPr>
      <w:r w:rsidRPr="00A35D38">
        <w:rPr>
          <w:rFonts w:ascii="Calibri" w:hAnsi="Calibri" w:cs="Calibri"/>
          <w:b/>
          <w:sz w:val="24"/>
          <w:szCs w:val="24"/>
          <w:lang w:val="hr-HR"/>
        </w:rPr>
        <w:t>5.3.1. Uvjeti gradnje</w:t>
      </w:r>
      <w:r w:rsidR="00A35D38" w:rsidRPr="007A1002">
        <w:rPr>
          <w:rFonts w:ascii="Calibri" w:hAnsi="Calibri" w:cs="Calibri"/>
          <w:b/>
          <w:sz w:val="24"/>
          <w:szCs w:val="24"/>
          <w:lang w:val="hr-HR"/>
        </w:rPr>
        <w:t>,rekonstrukcije i opremanja</w:t>
      </w:r>
      <w:r w:rsidRPr="00A35D38">
        <w:rPr>
          <w:rFonts w:ascii="Calibri" w:hAnsi="Calibri" w:cs="Calibri"/>
          <w:b/>
          <w:sz w:val="24"/>
          <w:szCs w:val="24"/>
          <w:lang w:val="hr-HR"/>
        </w:rPr>
        <w:t xml:space="preserve"> elektroenergetske  mreže</w:t>
      </w:r>
    </w:p>
    <w:p w:rsidR="00315132" w:rsidRPr="00A35D38" w:rsidRDefault="00315132">
      <w:pPr>
        <w:pStyle w:val="Caption"/>
        <w:tabs>
          <w:tab w:val="num" w:pos="426"/>
        </w:tabs>
        <w:ind w:left="426"/>
        <w:rPr>
          <w:rFonts w:ascii="Calibri" w:hAnsi="Calibri" w:cs="Calibri"/>
          <w:szCs w:val="24"/>
        </w:rPr>
      </w:pPr>
    </w:p>
    <w:p w:rsidR="00315132" w:rsidRDefault="00315132" w:rsidP="007A1002">
      <w:pPr>
        <w:pStyle w:val="Caption"/>
        <w:tabs>
          <w:tab w:val="num" w:pos="426"/>
        </w:tabs>
        <w:jc w:val="left"/>
        <w:rPr>
          <w:rFonts w:ascii="Calibri" w:hAnsi="Calibri" w:cs="Calibri"/>
          <w:szCs w:val="24"/>
        </w:rPr>
      </w:pPr>
      <w:r w:rsidRPr="00683A19">
        <w:rPr>
          <w:rFonts w:ascii="Calibri" w:hAnsi="Calibri" w:cs="Calibri"/>
          <w:szCs w:val="24"/>
        </w:rPr>
        <w:t xml:space="preserve">Članak </w:t>
      </w:r>
      <w:r w:rsidR="00631E98">
        <w:rPr>
          <w:rFonts w:ascii="Calibri" w:hAnsi="Calibri" w:cs="Calibri"/>
          <w:szCs w:val="24"/>
        </w:rPr>
        <w:t>21</w:t>
      </w:r>
      <w:r w:rsidRPr="00683A19">
        <w:rPr>
          <w:rFonts w:ascii="Calibri" w:hAnsi="Calibri" w:cs="Calibri"/>
          <w:szCs w:val="24"/>
        </w:rPr>
        <w:t>.</w:t>
      </w:r>
    </w:p>
    <w:p w:rsidR="007A1002" w:rsidRDefault="007A1002" w:rsidP="007A1002">
      <w:pPr>
        <w:numPr>
          <w:ilvl w:val="0"/>
          <w:numId w:val="0"/>
        </w:numPr>
        <w:rPr>
          <w:lang w:val="hr-HR"/>
        </w:rPr>
      </w:pPr>
    </w:p>
    <w:p w:rsidR="007A1002" w:rsidRPr="00BC00CC" w:rsidRDefault="007A1002" w:rsidP="007A1002">
      <w:pPr>
        <w:numPr>
          <w:ilvl w:val="0"/>
          <w:numId w:val="0"/>
        </w:numPr>
        <w:rPr>
          <w:rFonts w:asciiTheme="minorHAnsi" w:hAnsiTheme="minorHAnsi" w:cstheme="minorHAnsi"/>
          <w:sz w:val="24"/>
          <w:szCs w:val="24"/>
          <w:lang w:val="hr-HR"/>
        </w:rPr>
      </w:pPr>
      <w:r w:rsidRPr="00BC00CC">
        <w:rPr>
          <w:rFonts w:asciiTheme="minorHAnsi" w:hAnsiTheme="minorHAnsi" w:cstheme="minorHAnsi"/>
          <w:sz w:val="24"/>
          <w:szCs w:val="24"/>
          <w:lang w:val="hr-HR"/>
        </w:rPr>
        <w:t>Članak 22. mijenja se i sada glasi:</w:t>
      </w:r>
    </w:p>
    <w:p w:rsidR="007A13F1" w:rsidRDefault="007A13F1" w:rsidP="007A13F1">
      <w:pPr>
        <w:numPr>
          <w:ilvl w:val="0"/>
          <w:numId w:val="0"/>
        </w:numPr>
        <w:ind w:left="709" w:hanging="284"/>
        <w:rPr>
          <w:lang w:val="hr-HR"/>
        </w:rPr>
      </w:pPr>
    </w:p>
    <w:p w:rsidR="007A13F1" w:rsidRPr="007A1002" w:rsidRDefault="007A13F1" w:rsidP="007A13F1">
      <w:pPr>
        <w:numPr>
          <w:ilvl w:val="0"/>
          <w:numId w:val="0"/>
        </w:numPr>
        <w:spacing w:line="320" w:lineRule="exact"/>
        <w:jc w:val="both"/>
        <w:rPr>
          <w:rFonts w:ascii="Calibri" w:hAnsi="Calibri" w:cs="Calibri"/>
          <w:sz w:val="24"/>
          <w:szCs w:val="24"/>
          <w:lang w:val="hr-HR"/>
        </w:rPr>
      </w:pPr>
      <w:r w:rsidRPr="007A1002">
        <w:rPr>
          <w:rFonts w:ascii="Calibri" w:hAnsi="Calibri" w:cs="Calibri"/>
          <w:sz w:val="24"/>
          <w:szCs w:val="24"/>
          <w:lang w:val="hr-HR"/>
        </w:rPr>
        <w:t>Za napajanje planiranih sadržaja u obuhvatu UPU-a potrebno je izgraditi EE objekte i mrežu:</w:t>
      </w:r>
    </w:p>
    <w:p w:rsidR="007A13F1" w:rsidRPr="007A1002" w:rsidRDefault="007A13F1" w:rsidP="007A13F1">
      <w:pPr>
        <w:numPr>
          <w:ilvl w:val="0"/>
          <w:numId w:val="0"/>
        </w:numPr>
        <w:tabs>
          <w:tab w:val="left" w:pos="510"/>
        </w:tabs>
        <w:spacing w:line="320" w:lineRule="exact"/>
        <w:ind w:left="425"/>
        <w:jc w:val="both"/>
        <w:rPr>
          <w:rFonts w:ascii="Calibri" w:hAnsi="Calibri" w:cs="Calibri"/>
          <w:sz w:val="24"/>
          <w:szCs w:val="24"/>
          <w:lang w:val="hr-HR"/>
        </w:rPr>
      </w:pPr>
      <w:r w:rsidRPr="007A1002">
        <w:rPr>
          <w:rFonts w:ascii="Calibri" w:hAnsi="Calibri" w:cs="Calibri"/>
          <w:sz w:val="24"/>
          <w:szCs w:val="24"/>
          <w:lang w:val="hr-HR"/>
        </w:rPr>
        <w:t>-Izgraditi dvije nove montažne trafostanice 10(20)/0,4 kV, 630(1000) kVA. Opremiti ih potrebnim transformatorima snage 400(630)(1000)kVA.Transformatori mogu biti uljni ili suhi.</w:t>
      </w:r>
    </w:p>
    <w:p w:rsidR="007A13F1" w:rsidRPr="007A1002" w:rsidRDefault="007A13F1" w:rsidP="007A13F1">
      <w:pPr>
        <w:numPr>
          <w:ilvl w:val="0"/>
          <w:numId w:val="0"/>
        </w:numPr>
        <w:tabs>
          <w:tab w:val="left" w:pos="510"/>
        </w:tabs>
        <w:spacing w:line="320" w:lineRule="exact"/>
        <w:ind w:left="709" w:hanging="284"/>
        <w:jc w:val="both"/>
        <w:rPr>
          <w:rFonts w:ascii="Calibri" w:hAnsi="Calibri" w:cs="Calibri"/>
          <w:sz w:val="24"/>
          <w:szCs w:val="24"/>
          <w:lang w:val="hr-HR"/>
        </w:rPr>
      </w:pPr>
      <w:r w:rsidRPr="007A1002">
        <w:rPr>
          <w:rFonts w:ascii="Calibri" w:hAnsi="Calibri" w:cs="Calibri"/>
          <w:sz w:val="24"/>
          <w:szCs w:val="24"/>
          <w:lang w:val="hr-HR"/>
        </w:rPr>
        <w:t>-Izgraditi  KB rasplet za povezivanje trafostanica međusobno i s postojećom srednjenaponskom mrežom 10(20) kV mrežu, s mogućnošću napajanja s dvije strane.Predvidjeti SN jednožilne kabele 10(20)kV povezane u snopu (trojke), tip 3x(N2XS(F)2Y 1x185/25mm2).</w:t>
      </w:r>
    </w:p>
    <w:p w:rsidR="007A13F1" w:rsidRPr="007A1002" w:rsidRDefault="007A13F1" w:rsidP="007A13F1">
      <w:pPr>
        <w:numPr>
          <w:ilvl w:val="0"/>
          <w:numId w:val="0"/>
        </w:numPr>
        <w:tabs>
          <w:tab w:val="left" w:pos="510"/>
        </w:tabs>
        <w:spacing w:line="320" w:lineRule="exact"/>
        <w:ind w:left="567"/>
        <w:jc w:val="both"/>
        <w:rPr>
          <w:rFonts w:ascii="Calibri" w:hAnsi="Calibri" w:cs="Calibri"/>
          <w:sz w:val="24"/>
          <w:szCs w:val="24"/>
          <w:lang w:val="hr-HR"/>
        </w:rPr>
      </w:pPr>
      <w:r w:rsidRPr="007A1002">
        <w:rPr>
          <w:rFonts w:ascii="Calibri" w:hAnsi="Calibri" w:cs="Calibri"/>
          <w:sz w:val="24"/>
          <w:szCs w:val="24"/>
          <w:lang w:val="hr-HR"/>
        </w:rPr>
        <w:t>-Izgraditi kabelski 1 kV rasplet iz planiranih TS do pojedinih potrošača i kabelskih ormara.</w:t>
      </w:r>
    </w:p>
    <w:p w:rsidR="007A13F1" w:rsidRPr="007A1002" w:rsidRDefault="007A13F1" w:rsidP="007A13F1">
      <w:pPr>
        <w:numPr>
          <w:ilvl w:val="0"/>
          <w:numId w:val="0"/>
        </w:numPr>
        <w:tabs>
          <w:tab w:val="left" w:pos="510"/>
        </w:tabs>
        <w:spacing w:line="320" w:lineRule="exact"/>
        <w:ind w:left="567"/>
        <w:jc w:val="both"/>
        <w:rPr>
          <w:rFonts w:ascii="Calibri" w:hAnsi="Calibri" w:cs="Calibri"/>
          <w:sz w:val="24"/>
          <w:szCs w:val="24"/>
          <w:lang w:val="hr-HR"/>
        </w:rPr>
      </w:pPr>
      <w:r w:rsidRPr="007A1002">
        <w:rPr>
          <w:rFonts w:ascii="Calibri" w:hAnsi="Calibri" w:cs="Calibri"/>
          <w:sz w:val="24"/>
          <w:szCs w:val="24"/>
          <w:lang w:val="hr-HR"/>
        </w:rPr>
        <w:t>-Izgraditi javnu rasvjetu na javnoprometnim i ostalim javnim površinama, vodeći računa o primjeni mjera zaštite od svjetlosnog onečišćenja i energetske učinkovitosti.</w:t>
      </w:r>
    </w:p>
    <w:p w:rsidR="007A13F1" w:rsidRPr="007A1002" w:rsidRDefault="007A13F1" w:rsidP="007A13F1">
      <w:pPr>
        <w:numPr>
          <w:ilvl w:val="0"/>
          <w:numId w:val="0"/>
        </w:numPr>
        <w:tabs>
          <w:tab w:val="left" w:pos="510"/>
        </w:tabs>
        <w:spacing w:line="320" w:lineRule="exact"/>
        <w:ind w:left="567"/>
        <w:jc w:val="both"/>
        <w:rPr>
          <w:rFonts w:ascii="Calibri" w:hAnsi="Calibri" w:cs="Calibri"/>
          <w:sz w:val="24"/>
          <w:szCs w:val="24"/>
          <w:lang w:val="hr-HR"/>
        </w:rPr>
      </w:pPr>
      <w:r w:rsidRPr="007A1002">
        <w:rPr>
          <w:rFonts w:ascii="Calibri" w:hAnsi="Calibri" w:cs="Calibri"/>
          <w:sz w:val="24"/>
          <w:szCs w:val="24"/>
          <w:lang w:val="hr-HR"/>
        </w:rPr>
        <w:t>-Sve svjetiljke javne rasvjete trebaju imati LED module, temperature boje 2700(K) do 3500(K).</w:t>
      </w:r>
    </w:p>
    <w:p w:rsidR="007A13F1" w:rsidRPr="007A1002" w:rsidRDefault="007A13F1" w:rsidP="007A13F1">
      <w:pPr>
        <w:numPr>
          <w:ilvl w:val="0"/>
          <w:numId w:val="0"/>
        </w:numPr>
        <w:spacing w:before="240" w:after="60" w:line="320" w:lineRule="exact"/>
        <w:ind w:left="357"/>
        <w:jc w:val="both"/>
        <w:rPr>
          <w:rFonts w:ascii="Calibri" w:hAnsi="Calibri" w:cs="Calibri"/>
          <w:sz w:val="24"/>
          <w:szCs w:val="24"/>
          <w:lang w:val="hr-HR"/>
        </w:rPr>
      </w:pPr>
      <w:r w:rsidRPr="007A1002">
        <w:rPr>
          <w:rFonts w:ascii="Calibri" w:hAnsi="Calibri" w:cs="Calibri"/>
          <w:sz w:val="24"/>
          <w:szCs w:val="24"/>
          <w:lang w:val="hr-HR"/>
        </w:rPr>
        <w:t>Prilikom gradnje ili rekonstrukcije elektroenergetskih objekata treba obratiti pažnju na slijedeće uvjete:</w:t>
      </w:r>
    </w:p>
    <w:p w:rsidR="007A13F1" w:rsidRPr="007A1002" w:rsidRDefault="007A13F1" w:rsidP="007A13F1">
      <w:pPr>
        <w:numPr>
          <w:ilvl w:val="0"/>
          <w:numId w:val="32"/>
        </w:numPr>
        <w:spacing w:line="320" w:lineRule="exact"/>
        <w:ind w:left="918" w:hanging="357"/>
        <w:jc w:val="both"/>
        <w:rPr>
          <w:rFonts w:ascii="Calibri" w:hAnsi="Calibri" w:cs="Calibri"/>
          <w:sz w:val="24"/>
          <w:szCs w:val="24"/>
          <w:lang w:val="hr-HR"/>
        </w:rPr>
      </w:pPr>
      <w:r w:rsidRPr="007A1002">
        <w:rPr>
          <w:rFonts w:ascii="Calibri" w:hAnsi="Calibri" w:cs="Calibri"/>
          <w:sz w:val="24"/>
          <w:szCs w:val="24"/>
          <w:lang w:val="hr-HR"/>
        </w:rPr>
        <w:t>građevinska čestica predviđena za  trafostanice 10(20)/0,4 kV mora biti minimalno 7x6 m, a lokaciju odabrati tako da se osigura pristup vozilom radi gradnje, održavanja i upravljanja, a u pravilu se postavljaju u središtu konzuma, tako da se osigura kvalitetno napajanje do krajnjih potrošača na izvodima.</w:t>
      </w:r>
    </w:p>
    <w:p w:rsidR="007A13F1" w:rsidRPr="007A1002" w:rsidRDefault="007A13F1" w:rsidP="007A13F1">
      <w:pPr>
        <w:numPr>
          <w:ilvl w:val="0"/>
          <w:numId w:val="32"/>
        </w:numPr>
        <w:spacing w:line="320" w:lineRule="exact"/>
        <w:ind w:left="918" w:hanging="357"/>
        <w:jc w:val="both"/>
        <w:rPr>
          <w:rFonts w:ascii="Calibri" w:hAnsi="Calibri" w:cs="Calibri"/>
          <w:sz w:val="24"/>
          <w:szCs w:val="24"/>
          <w:lang w:val="hr-HR"/>
        </w:rPr>
      </w:pPr>
      <w:r w:rsidRPr="007A1002">
        <w:rPr>
          <w:rFonts w:ascii="Calibri" w:hAnsi="Calibri" w:cs="Calibri"/>
          <w:sz w:val="24"/>
          <w:szCs w:val="24"/>
          <w:lang w:val="hr-HR"/>
        </w:rPr>
        <w:t>dubina kabelskih kanala iznosi 0,8m u slobodnoj površini ili nogostupu, a pri prijelazu kolnika, dubina je min. 1,2 m do max. 1,5 m.</w:t>
      </w:r>
    </w:p>
    <w:p w:rsidR="007A13F1" w:rsidRPr="007A1002" w:rsidRDefault="007A13F1" w:rsidP="007A13F1">
      <w:pPr>
        <w:numPr>
          <w:ilvl w:val="0"/>
          <w:numId w:val="32"/>
        </w:numPr>
        <w:spacing w:line="320" w:lineRule="exact"/>
        <w:ind w:left="918" w:hanging="357"/>
        <w:jc w:val="both"/>
        <w:rPr>
          <w:rFonts w:ascii="Calibri" w:hAnsi="Calibri" w:cs="Calibri"/>
          <w:sz w:val="24"/>
          <w:szCs w:val="24"/>
          <w:lang w:val="hr-HR"/>
        </w:rPr>
      </w:pPr>
      <w:r w:rsidRPr="007A1002">
        <w:rPr>
          <w:rFonts w:ascii="Calibri" w:hAnsi="Calibri" w:cs="Calibri"/>
          <w:sz w:val="24"/>
          <w:szCs w:val="24"/>
          <w:lang w:val="hr-HR"/>
        </w:rPr>
        <w:t xml:space="preserve">širina kabelskih kanala ovisi o broju i naponskom nivou paralelno položenih kabela.Minimalna širina kanala je 40 cm. </w:t>
      </w:r>
    </w:p>
    <w:p w:rsidR="007A13F1" w:rsidRPr="007A1002" w:rsidRDefault="007A13F1" w:rsidP="007A13F1">
      <w:pPr>
        <w:numPr>
          <w:ilvl w:val="0"/>
          <w:numId w:val="32"/>
        </w:numPr>
        <w:spacing w:line="320" w:lineRule="exact"/>
        <w:ind w:left="918" w:hanging="357"/>
        <w:jc w:val="both"/>
        <w:rPr>
          <w:rFonts w:ascii="Calibri" w:hAnsi="Calibri" w:cs="Calibri"/>
          <w:sz w:val="24"/>
          <w:szCs w:val="24"/>
          <w:lang w:val="hr-HR"/>
        </w:rPr>
      </w:pPr>
      <w:r w:rsidRPr="007A1002">
        <w:rPr>
          <w:rFonts w:ascii="Calibri" w:hAnsi="Calibri" w:cs="Calibri"/>
          <w:sz w:val="24"/>
          <w:szCs w:val="24"/>
          <w:lang w:val="hr-HR"/>
        </w:rPr>
        <w:t xml:space="preserve">na mjestima prijelaza ispod prometnica kabeli se provlače kroz PVC cijevi promjera </w:t>
      </w:r>
      <w:r w:rsidRPr="007A1002">
        <w:rPr>
          <w:rFonts w:ascii="Calibri" w:hAnsi="Calibri" w:cs="Calibri"/>
          <w:sz w:val="24"/>
          <w:szCs w:val="24"/>
          <w:lang w:val="hr-HR"/>
        </w:rPr>
        <w:sym w:font="UniversalMath1 BT" w:char="F046"/>
      </w:r>
      <w:r w:rsidRPr="007A1002">
        <w:rPr>
          <w:rFonts w:ascii="Calibri" w:hAnsi="Calibri" w:cs="Calibri"/>
          <w:sz w:val="24"/>
          <w:szCs w:val="24"/>
          <w:lang w:val="hr-HR"/>
        </w:rPr>
        <w:t xml:space="preserve">110, </w:t>
      </w:r>
      <w:r w:rsidRPr="007A1002">
        <w:rPr>
          <w:rFonts w:ascii="Calibri" w:hAnsi="Calibri" w:cs="Calibri"/>
          <w:sz w:val="24"/>
          <w:szCs w:val="24"/>
          <w:lang w:val="hr-HR"/>
        </w:rPr>
        <w:sym w:font="UniversalMath1 BT" w:char="F046"/>
      </w:r>
      <w:r w:rsidRPr="007A1002">
        <w:rPr>
          <w:rFonts w:ascii="Calibri" w:hAnsi="Calibri" w:cs="Calibri"/>
          <w:sz w:val="24"/>
          <w:szCs w:val="24"/>
          <w:lang w:val="hr-HR"/>
        </w:rPr>
        <w:t xml:space="preserve">160, odnosno </w:t>
      </w:r>
      <w:r w:rsidRPr="007A1002">
        <w:rPr>
          <w:rFonts w:ascii="Calibri" w:hAnsi="Calibri" w:cs="Calibri"/>
          <w:sz w:val="24"/>
          <w:szCs w:val="24"/>
          <w:lang w:val="hr-HR"/>
        </w:rPr>
        <w:sym w:font="UniversalMath1 BT" w:char="F046"/>
      </w:r>
      <w:r w:rsidRPr="007A1002">
        <w:rPr>
          <w:rFonts w:ascii="Calibri" w:hAnsi="Calibri" w:cs="Calibri"/>
          <w:sz w:val="24"/>
          <w:szCs w:val="24"/>
          <w:lang w:val="hr-HR"/>
        </w:rPr>
        <w:t>200, ovisno o tipu kabela (JR, NN, VN).</w:t>
      </w:r>
    </w:p>
    <w:p w:rsidR="007A13F1" w:rsidRPr="007A1002" w:rsidRDefault="007A13F1" w:rsidP="007A13F1">
      <w:pPr>
        <w:numPr>
          <w:ilvl w:val="0"/>
          <w:numId w:val="32"/>
        </w:numPr>
        <w:spacing w:line="320" w:lineRule="exact"/>
        <w:ind w:left="918" w:hanging="357"/>
        <w:jc w:val="both"/>
        <w:rPr>
          <w:rFonts w:ascii="Calibri" w:hAnsi="Calibri" w:cs="Calibri"/>
          <w:sz w:val="24"/>
          <w:szCs w:val="24"/>
          <w:lang w:val="hr-HR"/>
        </w:rPr>
      </w:pPr>
      <w:r w:rsidRPr="007A1002">
        <w:rPr>
          <w:rFonts w:ascii="Calibri" w:hAnsi="Calibri" w:cs="Calibri"/>
          <w:sz w:val="24"/>
          <w:szCs w:val="24"/>
          <w:lang w:val="hr-HR"/>
        </w:rPr>
        <w:t>prilikom polaganja kabela po cijeloj dužini kabelske trase obavezno se polaže uzemljivačko uže Cu 50mm</w:t>
      </w:r>
      <w:r w:rsidRPr="007A1002">
        <w:rPr>
          <w:rFonts w:ascii="Calibri" w:hAnsi="Calibri" w:cs="Calibri"/>
          <w:sz w:val="24"/>
          <w:szCs w:val="24"/>
          <w:vertAlign w:val="superscript"/>
          <w:lang w:val="hr-HR"/>
        </w:rPr>
        <w:t>2</w:t>
      </w:r>
      <w:r w:rsidRPr="007A1002">
        <w:rPr>
          <w:rFonts w:ascii="Calibri" w:hAnsi="Calibri" w:cs="Calibri"/>
          <w:sz w:val="24"/>
          <w:szCs w:val="24"/>
          <w:lang w:val="hr-HR"/>
        </w:rPr>
        <w:t>.</w:t>
      </w:r>
    </w:p>
    <w:p w:rsidR="007A13F1" w:rsidRPr="007A1002" w:rsidRDefault="007A13F1" w:rsidP="007A13F1">
      <w:pPr>
        <w:numPr>
          <w:ilvl w:val="0"/>
          <w:numId w:val="0"/>
        </w:numPr>
        <w:spacing w:after="144"/>
        <w:jc w:val="both"/>
        <w:rPr>
          <w:rFonts w:ascii="Calibri" w:hAnsi="Calibri" w:cs="Calibri"/>
          <w:b/>
          <w:sz w:val="22"/>
          <w:lang w:val="hr-HR"/>
        </w:rPr>
      </w:pPr>
      <w:r w:rsidRPr="007A1002">
        <w:rPr>
          <w:rFonts w:ascii="Calibri" w:hAnsi="Calibri" w:cs="Calibri"/>
          <w:sz w:val="24"/>
          <w:szCs w:val="24"/>
          <w:lang w:val="hr-HR" w:eastAsia="hr-HR"/>
        </w:rPr>
        <w:t>Elektroenergetski kabeli se polažu, gdje god je to moguće, u nogostup prometnice stranom suprotnom od strane kojom se polažu telekomunikacijski kabeli. Ako se moraju paralelno voditi obavezno je poštivanje minimalnih udaljenosti (50 cm). Isto vrijedi i za međusobno križanje s tim da kut križanja ne smije biti manji od30(</w:t>
      </w:r>
      <w:r w:rsidRPr="007A1002">
        <w:rPr>
          <w:rFonts w:ascii="Calibri" w:hAnsi="Calibri" w:cs="Calibri"/>
          <w:sz w:val="24"/>
          <w:szCs w:val="24"/>
          <w:vertAlign w:val="superscript"/>
          <w:lang w:val="hr-HR" w:eastAsia="hr-HR"/>
        </w:rPr>
        <w:t>o</w:t>
      </w:r>
      <w:r w:rsidRPr="007A1002">
        <w:rPr>
          <w:rFonts w:ascii="Calibri" w:hAnsi="Calibri" w:cs="Calibri"/>
          <w:sz w:val="24"/>
          <w:szCs w:val="24"/>
          <w:lang w:val="hr-HR" w:eastAsia="hr-HR"/>
        </w:rPr>
        <w:t>)</w:t>
      </w:r>
    </w:p>
    <w:p w:rsidR="007A13F1" w:rsidRPr="007A13F1" w:rsidRDefault="007A13F1" w:rsidP="007A13F1">
      <w:pPr>
        <w:numPr>
          <w:ilvl w:val="0"/>
          <w:numId w:val="0"/>
        </w:numPr>
        <w:ind w:left="709" w:hanging="284"/>
        <w:rPr>
          <w:lang w:val="hr-HR"/>
        </w:rPr>
      </w:pPr>
    </w:p>
    <w:p w:rsidR="002B03F4" w:rsidRPr="00F81ACB" w:rsidRDefault="0015420B">
      <w:pPr>
        <w:pStyle w:val="janja"/>
        <w:spacing w:after="144"/>
        <w:rPr>
          <w:rFonts w:ascii="Calibri" w:hAnsi="Calibri" w:cs="Calibri"/>
          <w:b/>
          <w:sz w:val="24"/>
          <w:szCs w:val="24"/>
          <w:lang w:val="hr-HR"/>
        </w:rPr>
      </w:pPr>
      <w:r w:rsidRPr="00F81ACB">
        <w:rPr>
          <w:rFonts w:ascii="Calibri" w:hAnsi="Calibri" w:cs="Calibri"/>
          <w:b/>
          <w:sz w:val="24"/>
          <w:szCs w:val="24"/>
          <w:lang w:val="hr-HR"/>
        </w:rPr>
        <w:t xml:space="preserve">5.3.2. </w:t>
      </w:r>
      <w:r w:rsidR="001D35AD" w:rsidRPr="00F81ACB">
        <w:rPr>
          <w:rFonts w:ascii="Calibri" w:hAnsi="Calibri" w:cs="Calibri"/>
          <w:b/>
          <w:sz w:val="24"/>
          <w:szCs w:val="24"/>
          <w:lang w:val="hr-HR"/>
        </w:rPr>
        <w:t xml:space="preserve">Uvjeti gradnje pomorskih građevina na </w:t>
      </w:r>
      <w:r w:rsidR="009E3421">
        <w:rPr>
          <w:rFonts w:ascii="Calibri" w:hAnsi="Calibri" w:cs="Calibri"/>
          <w:b/>
          <w:sz w:val="24"/>
          <w:szCs w:val="24"/>
          <w:lang w:val="hr-HR"/>
        </w:rPr>
        <w:t>UP - kupalištu</w:t>
      </w:r>
    </w:p>
    <w:p w:rsidR="00F81ACB" w:rsidRPr="00F81ACB" w:rsidRDefault="00F81ACB" w:rsidP="00F81ACB">
      <w:pPr>
        <w:pStyle w:val="janja"/>
        <w:spacing w:after="144"/>
        <w:rPr>
          <w:rFonts w:ascii="Calibri" w:hAnsi="Calibri" w:cs="Calibri"/>
          <w:b/>
          <w:sz w:val="24"/>
          <w:szCs w:val="24"/>
          <w:lang w:val="hr-HR"/>
        </w:rPr>
      </w:pPr>
      <w:r w:rsidRPr="00F81ACB">
        <w:rPr>
          <w:rFonts w:ascii="Calibri" w:hAnsi="Calibri" w:cs="Calibri"/>
          <w:b/>
          <w:sz w:val="24"/>
          <w:szCs w:val="24"/>
          <w:lang w:val="hr-HR"/>
        </w:rPr>
        <w:t>Na planiranoj uređenoj  plaži (UP</w:t>
      </w:r>
      <w:r w:rsidR="009E3421">
        <w:rPr>
          <w:rFonts w:ascii="Calibri" w:hAnsi="Calibri" w:cs="Calibri"/>
          <w:b/>
          <w:sz w:val="24"/>
          <w:szCs w:val="24"/>
          <w:lang w:val="hr-HR"/>
        </w:rPr>
        <w:t xml:space="preserve"> - kupalištu</w:t>
      </w:r>
      <w:r w:rsidRPr="00F81ACB">
        <w:rPr>
          <w:rFonts w:ascii="Calibri" w:hAnsi="Calibri" w:cs="Calibri"/>
          <w:b/>
          <w:sz w:val="24"/>
          <w:szCs w:val="24"/>
          <w:lang w:val="hr-HR"/>
        </w:rPr>
        <w:t>) propisuje se izrada idejnog maritimnog projekta kojim će se uz visoki stupanj očuvanosti prirodnih obilježja odrediti položaj jednog ili više pera kojima bi se uspostavili hidraulički uvjeti za održanje postojećeg plažnog materijala.</w:t>
      </w:r>
    </w:p>
    <w:p w:rsidR="00F81ACB" w:rsidRPr="00F81ACB" w:rsidRDefault="00F81ACB" w:rsidP="00F81ACB">
      <w:pPr>
        <w:pStyle w:val="janja"/>
        <w:spacing w:after="144"/>
        <w:rPr>
          <w:rFonts w:ascii="Calibri" w:hAnsi="Calibri" w:cs="Calibri"/>
          <w:b/>
          <w:sz w:val="24"/>
          <w:szCs w:val="24"/>
          <w:lang w:val="hr-HR"/>
        </w:rPr>
      </w:pPr>
      <w:r w:rsidRPr="00F81ACB">
        <w:rPr>
          <w:rFonts w:ascii="Calibri" w:hAnsi="Calibri" w:cs="Calibri"/>
          <w:b/>
          <w:sz w:val="24"/>
          <w:szCs w:val="24"/>
          <w:lang w:val="hr-HR"/>
        </w:rPr>
        <w:lastRenderedPageBreak/>
        <w:t xml:space="preserve">Kopneni prostor neposredno povezan s morem treba biti uređen i infrastrukturno opremljen na način da sadržava tuševe, kabine za sunčanje od materijala koji se nakon sezone demontiraju, sanitarne prostore, drvena sunčališta koja se postavljaju i nakon sezone demontiraju, prostore za usluživanje hrane i pića, iznajmljivanje naprava za sportove na moru i sl. Sve navedeno mora biti moguće demontirati s plaže izvan sezone. </w:t>
      </w:r>
    </w:p>
    <w:p w:rsidR="00F81ACB" w:rsidRPr="00F81ACB" w:rsidRDefault="00F81ACB" w:rsidP="00F81ACB">
      <w:pPr>
        <w:pStyle w:val="janja"/>
        <w:spacing w:after="144"/>
        <w:rPr>
          <w:rFonts w:ascii="Calibri" w:hAnsi="Calibri" w:cs="Calibri"/>
          <w:b/>
          <w:sz w:val="24"/>
          <w:szCs w:val="24"/>
          <w:lang w:val="hr-HR"/>
        </w:rPr>
      </w:pPr>
      <w:r w:rsidRPr="00F81ACB">
        <w:rPr>
          <w:rFonts w:ascii="Calibri" w:hAnsi="Calibri" w:cs="Calibri"/>
          <w:b/>
          <w:sz w:val="24"/>
          <w:szCs w:val="24"/>
          <w:lang w:val="hr-HR"/>
        </w:rPr>
        <w:t>Dio uređenja plaže svakako je i uređenje obalne šetnice. Ovu postojeću komunikaciju potrebno je oplemeniti sadnjom visokih stablašica, klupama za odmor i javnom pejzažnom rasvjetom.</w:t>
      </w:r>
    </w:p>
    <w:p w:rsidR="00315132" w:rsidRDefault="00315132">
      <w:pPr>
        <w:pStyle w:val="Caption"/>
        <w:tabs>
          <w:tab w:val="num" w:pos="426"/>
        </w:tabs>
        <w:ind w:left="426"/>
        <w:rPr>
          <w:sz w:val="22"/>
        </w:rPr>
      </w:pPr>
    </w:p>
    <w:p w:rsidR="00315132" w:rsidRPr="00A35D38" w:rsidRDefault="00315132">
      <w:pPr>
        <w:pStyle w:val="janja"/>
        <w:spacing w:after="144"/>
        <w:rPr>
          <w:rFonts w:ascii="Calibri" w:hAnsi="Calibri" w:cs="Calibri"/>
          <w:b/>
          <w:sz w:val="24"/>
          <w:szCs w:val="24"/>
          <w:lang w:val="hr-HR"/>
        </w:rPr>
      </w:pPr>
      <w:r w:rsidRPr="00A35D38">
        <w:rPr>
          <w:rFonts w:ascii="Calibri" w:hAnsi="Calibri" w:cs="Calibri"/>
          <w:b/>
          <w:sz w:val="24"/>
          <w:szCs w:val="24"/>
          <w:lang w:val="hr-HR"/>
        </w:rPr>
        <w:t xml:space="preserve">9. Mjere sprječavanja nepovoljna utjecaja na okoliš </w:t>
      </w:r>
    </w:p>
    <w:p w:rsidR="00315132" w:rsidRPr="00A35D38" w:rsidRDefault="00315132">
      <w:pPr>
        <w:pStyle w:val="Caption"/>
        <w:tabs>
          <w:tab w:val="num" w:pos="426"/>
        </w:tabs>
        <w:ind w:left="426"/>
        <w:rPr>
          <w:rFonts w:ascii="Calibri" w:hAnsi="Calibri" w:cs="Calibri"/>
          <w:szCs w:val="24"/>
        </w:rPr>
      </w:pPr>
    </w:p>
    <w:p w:rsidR="00315132" w:rsidRDefault="00315132" w:rsidP="005854C1">
      <w:pPr>
        <w:pStyle w:val="Caption"/>
        <w:tabs>
          <w:tab w:val="num" w:pos="426"/>
        </w:tabs>
        <w:jc w:val="left"/>
        <w:rPr>
          <w:rFonts w:ascii="Calibri" w:hAnsi="Calibri" w:cs="Calibri"/>
          <w:szCs w:val="24"/>
        </w:rPr>
      </w:pPr>
      <w:r w:rsidRPr="00683A19">
        <w:rPr>
          <w:rFonts w:ascii="Calibri" w:hAnsi="Calibri" w:cs="Calibri"/>
          <w:szCs w:val="24"/>
        </w:rPr>
        <w:t xml:space="preserve">Članak </w:t>
      </w:r>
      <w:r w:rsidR="004D0059">
        <w:rPr>
          <w:rFonts w:ascii="Calibri" w:hAnsi="Calibri" w:cs="Calibri"/>
          <w:szCs w:val="24"/>
        </w:rPr>
        <w:t>2</w:t>
      </w:r>
      <w:r w:rsidR="00D8398D">
        <w:rPr>
          <w:rFonts w:ascii="Calibri" w:hAnsi="Calibri" w:cs="Calibri"/>
          <w:szCs w:val="24"/>
        </w:rPr>
        <w:t>2</w:t>
      </w:r>
      <w:r w:rsidRPr="00683A19">
        <w:rPr>
          <w:rFonts w:ascii="Calibri" w:hAnsi="Calibri" w:cs="Calibri"/>
          <w:szCs w:val="24"/>
        </w:rPr>
        <w:t>.</w:t>
      </w:r>
    </w:p>
    <w:p w:rsidR="005854C1" w:rsidRDefault="005854C1" w:rsidP="005854C1">
      <w:pPr>
        <w:numPr>
          <w:ilvl w:val="0"/>
          <w:numId w:val="0"/>
        </w:numPr>
        <w:rPr>
          <w:lang w:val="hr-HR"/>
        </w:rPr>
      </w:pPr>
    </w:p>
    <w:p w:rsidR="005854C1" w:rsidRPr="00B47244" w:rsidRDefault="005854C1" w:rsidP="005854C1">
      <w:pPr>
        <w:numPr>
          <w:ilvl w:val="0"/>
          <w:numId w:val="0"/>
        </w:numPr>
        <w:rPr>
          <w:rFonts w:asciiTheme="minorHAnsi" w:hAnsiTheme="minorHAnsi" w:cstheme="minorHAnsi"/>
          <w:sz w:val="24"/>
          <w:szCs w:val="24"/>
          <w:lang w:val="hr-HR"/>
        </w:rPr>
      </w:pPr>
      <w:r w:rsidRPr="00B47244">
        <w:rPr>
          <w:rFonts w:asciiTheme="minorHAnsi" w:hAnsiTheme="minorHAnsi" w:cstheme="minorHAnsi"/>
          <w:sz w:val="24"/>
          <w:szCs w:val="24"/>
          <w:lang w:val="hr-HR"/>
        </w:rPr>
        <w:t>Članak 26. mijenja se i sada glasi:</w:t>
      </w:r>
    </w:p>
    <w:p w:rsidR="00315132" w:rsidRPr="00BC00CC" w:rsidRDefault="00315132">
      <w:pPr>
        <w:pStyle w:val="janja"/>
        <w:spacing w:before="120" w:after="120"/>
        <w:rPr>
          <w:rFonts w:asciiTheme="minorHAnsi" w:hAnsiTheme="minorHAnsi" w:cstheme="minorHAnsi"/>
          <w:sz w:val="24"/>
          <w:szCs w:val="24"/>
          <w:lang w:val="hr-HR"/>
        </w:rPr>
      </w:pPr>
      <w:r w:rsidRPr="00BC00CC">
        <w:rPr>
          <w:rFonts w:asciiTheme="minorHAnsi" w:hAnsiTheme="minorHAnsi" w:cstheme="minorHAnsi"/>
          <w:sz w:val="24"/>
          <w:szCs w:val="24"/>
          <w:lang w:val="hr-HR"/>
        </w:rPr>
        <w:t>Temeljna mjera zaštite okoliša je izgradnja planirane komunalne infrastrukture i ukupno uređenje građevnih čestica odnosno okoliša građevina. Planiranom komunalnom infrastrukturom se negativni utjecaji na okoliš bitno umanjuju ili otklanjaju kroz slijedeće mjere i rješenja:</w:t>
      </w:r>
    </w:p>
    <w:p w:rsidR="00315132" w:rsidRPr="00BC00CC" w:rsidRDefault="00315132">
      <w:pPr>
        <w:pStyle w:val="janja"/>
        <w:numPr>
          <w:ilvl w:val="0"/>
          <w:numId w:val="14"/>
        </w:numPr>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usvojen je razdjelni sustav odvodnje, </w:t>
      </w:r>
    </w:p>
    <w:p w:rsidR="00315132" w:rsidRPr="00BC00CC" w:rsidRDefault="00315132">
      <w:pPr>
        <w:pStyle w:val="janja"/>
        <w:numPr>
          <w:ilvl w:val="0"/>
          <w:numId w:val="14"/>
        </w:numPr>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usvojen je zatvoreni sustav odvodnje,</w:t>
      </w:r>
    </w:p>
    <w:p w:rsidR="00315132" w:rsidRPr="00BC00CC" w:rsidRDefault="00315132">
      <w:pPr>
        <w:pStyle w:val="janja"/>
        <w:numPr>
          <w:ilvl w:val="0"/>
          <w:numId w:val="14"/>
        </w:numPr>
        <w:spacing w:after="120"/>
        <w:rPr>
          <w:rFonts w:asciiTheme="minorHAnsi" w:hAnsiTheme="minorHAnsi" w:cstheme="minorHAnsi"/>
          <w:sz w:val="24"/>
          <w:szCs w:val="24"/>
          <w:lang w:val="hr-HR"/>
        </w:rPr>
      </w:pPr>
      <w:r w:rsidRPr="00BC00CC">
        <w:rPr>
          <w:rFonts w:asciiTheme="minorHAnsi" w:hAnsiTheme="minorHAnsi" w:cstheme="minorHAnsi"/>
          <w:sz w:val="24"/>
          <w:szCs w:val="24"/>
          <w:lang w:val="hr-HR"/>
        </w:rPr>
        <w:t>osigurana je kvalitetna vodoopskrba područja obuhvata Plana.</w:t>
      </w:r>
    </w:p>
    <w:p w:rsidR="00315132" w:rsidRDefault="00315132">
      <w:pPr>
        <w:pStyle w:val="janja"/>
        <w:spacing w:after="120"/>
        <w:rPr>
          <w:rFonts w:ascii="Calibri" w:hAnsi="Calibri" w:cs="Calibri"/>
          <w:sz w:val="24"/>
          <w:szCs w:val="24"/>
          <w:lang w:val="hr-HR"/>
        </w:rPr>
      </w:pPr>
      <w:r w:rsidRPr="00BC00CC">
        <w:rPr>
          <w:rFonts w:asciiTheme="minorHAnsi" w:hAnsiTheme="minorHAnsi" w:cstheme="minorHAnsi"/>
          <w:sz w:val="24"/>
          <w:szCs w:val="24"/>
          <w:lang w:val="hr-HR"/>
        </w:rPr>
        <w:t xml:space="preserve">Primjenom kabelskih (podzemnih) vodova 20(10) kV  i vodova NN (1kV) višestruko se povećava 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w:t>
      </w:r>
      <w:r w:rsidRPr="00A35D38">
        <w:rPr>
          <w:rFonts w:ascii="Calibri" w:hAnsi="Calibri" w:cs="Calibri"/>
          <w:sz w:val="24"/>
          <w:szCs w:val="24"/>
          <w:lang w:val="hr-HR"/>
        </w:rPr>
        <w:t>(buka,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w:t>
      </w:r>
    </w:p>
    <w:p w:rsidR="00A35D38" w:rsidRPr="00B47244" w:rsidRDefault="00B47244">
      <w:pPr>
        <w:pStyle w:val="janja"/>
        <w:spacing w:after="120"/>
        <w:rPr>
          <w:rFonts w:ascii="Calibri" w:hAnsi="Calibri" w:cs="Calibri"/>
          <w:b/>
          <w:sz w:val="24"/>
          <w:szCs w:val="24"/>
          <w:lang w:val="hr-HR"/>
        </w:rPr>
      </w:pPr>
      <w:r>
        <w:rPr>
          <w:rFonts w:ascii="Calibri" w:hAnsi="Calibri" w:cs="Calibri"/>
          <w:b/>
          <w:sz w:val="24"/>
          <w:szCs w:val="24"/>
          <w:lang w:val="hr-HR"/>
        </w:rPr>
        <w:t>Dodaje se novo poglavlje:</w:t>
      </w:r>
    </w:p>
    <w:p w:rsidR="00A35D38" w:rsidRPr="00137D20" w:rsidRDefault="00A35D38" w:rsidP="00A35D38">
      <w:pPr>
        <w:pStyle w:val="NoSpacing"/>
        <w:rPr>
          <w:rFonts w:cs="Calibri"/>
          <w:b/>
          <w:sz w:val="24"/>
          <w:szCs w:val="24"/>
        </w:rPr>
      </w:pPr>
      <w:r w:rsidRPr="00B47244">
        <w:rPr>
          <w:rFonts w:cs="Calibri"/>
          <w:b/>
          <w:sz w:val="24"/>
          <w:szCs w:val="24"/>
        </w:rPr>
        <w:t>9. 1. Urbanističke mjere zaštite od elementarnih nepogoda i ratnih opasnosti</w:t>
      </w:r>
    </w:p>
    <w:p w:rsidR="00A35D38" w:rsidRPr="00137D20" w:rsidRDefault="00A35D38" w:rsidP="00A35D38">
      <w:pPr>
        <w:pStyle w:val="NoSpacing"/>
        <w:rPr>
          <w:rFonts w:cs="Calibri"/>
          <w:sz w:val="24"/>
          <w:szCs w:val="24"/>
        </w:rPr>
      </w:pPr>
    </w:p>
    <w:p w:rsidR="00D8398D" w:rsidRPr="00B47244" w:rsidRDefault="00137D20" w:rsidP="00A35D38">
      <w:pPr>
        <w:pStyle w:val="NoSpacing"/>
        <w:rPr>
          <w:rFonts w:cs="Calibri"/>
          <w:b/>
          <w:sz w:val="24"/>
          <w:szCs w:val="24"/>
        </w:rPr>
      </w:pPr>
      <w:r w:rsidRPr="00B47244">
        <w:rPr>
          <w:rFonts w:cs="Calibri"/>
          <w:b/>
          <w:sz w:val="24"/>
          <w:szCs w:val="24"/>
        </w:rPr>
        <w:t>Članak 23.</w:t>
      </w:r>
    </w:p>
    <w:p w:rsidR="00A35D38" w:rsidRPr="00137D20" w:rsidRDefault="00B47244" w:rsidP="00A35D38">
      <w:pPr>
        <w:pStyle w:val="NoSpacing"/>
        <w:rPr>
          <w:rFonts w:cs="Calibri"/>
          <w:sz w:val="24"/>
          <w:szCs w:val="24"/>
        </w:rPr>
      </w:pPr>
      <w:r>
        <w:rPr>
          <w:rFonts w:cs="Calibri"/>
          <w:sz w:val="24"/>
          <w:szCs w:val="24"/>
        </w:rPr>
        <w:t>Dodaje se novi članak 26A</w:t>
      </w:r>
      <w:r w:rsidR="00137D20" w:rsidRPr="00137D20">
        <w:rPr>
          <w:rFonts w:cs="Calibri"/>
          <w:sz w:val="24"/>
          <w:szCs w:val="24"/>
        </w:rPr>
        <w:t>:</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b/>
          <w:sz w:val="24"/>
          <w:szCs w:val="24"/>
        </w:rPr>
      </w:pPr>
      <w:r w:rsidRPr="00137D20">
        <w:rPr>
          <w:rFonts w:cs="Calibri"/>
          <w:b/>
          <w:sz w:val="24"/>
          <w:szCs w:val="24"/>
        </w:rPr>
        <w:t xml:space="preserve">Sklanjanje ljudi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Prema odredbama “Pravilnika o kriterijima za određivanje gradova i naseljenih mjesta u kojima se moraju graditi skloništa i drugi objekti za zaštitu” (N.N. br. 2/91) za naselja sa manje od 2000 stanovnika ne moraju se graditi skloništa niti drugi objekti za zaštitu stanovništva.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b/>
          <w:sz w:val="24"/>
          <w:szCs w:val="24"/>
        </w:rPr>
      </w:pPr>
      <w:r w:rsidRPr="00137D20">
        <w:rPr>
          <w:rFonts w:cs="Calibri"/>
          <w:b/>
          <w:sz w:val="24"/>
          <w:szCs w:val="24"/>
        </w:rPr>
        <w:t xml:space="preserve">Zaštita od rušenja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Radi evakuacije ljudi i dobara ceste i ostale prometnice štitite se od rušenja zgrada propisanom minimalnom udaljenošću građevnog od regulacijskog pravca od 5 m. Obzirom da je najveća dopuštena visina građevina </w:t>
      </w:r>
      <w:r w:rsidRPr="00137D20">
        <w:rPr>
          <w:rFonts w:cs="Calibri"/>
          <w:strike/>
          <w:sz w:val="24"/>
          <w:szCs w:val="24"/>
        </w:rPr>
        <w:t>10</w:t>
      </w:r>
      <w:r w:rsidRPr="00137D20">
        <w:rPr>
          <w:rFonts w:cs="Calibri"/>
          <w:sz w:val="24"/>
          <w:szCs w:val="24"/>
        </w:rPr>
        <w:t xml:space="preserve"> 9,5 m, urušavanje se događa unutar granica građevinske čestice </w:t>
      </w:r>
    </w:p>
    <w:p w:rsidR="00A35D38" w:rsidRPr="00137D20" w:rsidRDefault="00A35D38" w:rsidP="00A35D38">
      <w:pPr>
        <w:pStyle w:val="NoSpacing"/>
        <w:rPr>
          <w:rFonts w:cs="Calibri"/>
          <w:sz w:val="24"/>
          <w:szCs w:val="24"/>
        </w:rPr>
      </w:pPr>
      <w:r w:rsidRPr="00137D20">
        <w:rPr>
          <w:rFonts w:cs="Calibri"/>
          <w:sz w:val="24"/>
          <w:szCs w:val="24"/>
        </w:rPr>
        <w:lastRenderedPageBreak/>
        <w:t xml:space="preserve">pojedine građevine a prometna površina ostaje nezakrčena.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b/>
          <w:sz w:val="24"/>
          <w:szCs w:val="24"/>
        </w:rPr>
      </w:pPr>
      <w:r w:rsidRPr="00137D20">
        <w:rPr>
          <w:rFonts w:cs="Calibri"/>
          <w:b/>
          <w:sz w:val="24"/>
          <w:szCs w:val="24"/>
        </w:rPr>
        <w:t xml:space="preserve">Zaštita od požara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Mjere zaštite od požara temelje se na procjeni ugroženosti od požara i planu zaštite od požara. </w:t>
      </w:r>
    </w:p>
    <w:p w:rsidR="00A35D38" w:rsidRPr="00137D20" w:rsidRDefault="00A35D38" w:rsidP="00A35D38">
      <w:pPr>
        <w:pStyle w:val="NoSpacing"/>
        <w:rPr>
          <w:rFonts w:cs="Calibri"/>
          <w:sz w:val="24"/>
          <w:szCs w:val="24"/>
        </w:rPr>
      </w:pPr>
      <w:r w:rsidRPr="00137D20">
        <w:rPr>
          <w:rFonts w:cs="Calibri"/>
          <w:sz w:val="24"/>
          <w:szCs w:val="24"/>
        </w:rPr>
        <w:t xml:space="preserve">Zaštita od požara provodi se planiranjem i uređivanjem vatrobranih pojaseva i požarnih zapreka (npr. ulice, parkovi, druge negradive površine).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S obzirom na gustoću izgrađenosti koja je manja od 30%, ne utvrđuju se pojačane mjere zaštite.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Posebni uvjeti građenja iz područja zaštite od požara su slijedeći: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U slučaju da se u objektima stavlja u promet, koristiti i skladištiti zapaljive tekućine i plinovi </w:t>
      </w:r>
    </w:p>
    <w:p w:rsidR="00A35D38" w:rsidRPr="00137D20" w:rsidRDefault="00A35D38" w:rsidP="00A35D38">
      <w:pPr>
        <w:pStyle w:val="NoSpacing"/>
        <w:rPr>
          <w:rFonts w:cs="Calibri"/>
          <w:sz w:val="24"/>
          <w:szCs w:val="24"/>
        </w:rPr>
      </w:pPr>
      <w:r w:rsidRPr="00137D20">
        <w:rPr>
          <w:rFonts w:cs="Calibri"/>
          <w:sz w:val="24"/>
          <w:szCs w:val="24"/>
        </w:rPr>
        <w:t xml:space="preserve">potrebno je postupiti sukladno odredbama članka 11. Zakona o zapaljivim tekućinama i </w:t>
      </w:r>
    </w:p>
    <w:p w:rsidR="00A35D38" w:rsidRPr="00137D20" w:rsidRDefault="00A35D38" w:rsidP="00A35D38">
      <w:pPr>
        <w:pStyle w:val="NoSpacing"/>
        <w:rPr>
          <w:rFonts w:cs="Calibri"/>
          <w:sz w:val="24"/>
          <w:szCs w:val="24"/>
        </w:rPr>
      </w:pPr>
      <w:r w:rsidRPr="00137D20">
        <w:rPr>
          <w:rFonts w:cs="Calibri"/>
          <w:sz w:val="24"/>
          <w:szCs w:val="24"/>
        </w:rPr>
        <w:t xml:space="preserve">plinovima (N.N. 108/95) </w:t>
      </w:r>
    </w:p>
    <w:p w:rsidR="00A35D38" w:rsidRPr="00137D20" w:rsidRDefault="00A35D38" w:rsidP="00A35D38">
      <w:pPr>
        <w:pStyle w:val="NoSpacing"/>
        <w:rPr>
          <w:rFonts w:cs="Calibri"/>
          <w:sz w:val="24"/>
          <w:szCs w:val="24"/>
        </w:rPr>
      </w:pPr>
    </w:p>
    <w:p w:rsidR="00A35D38" w:rsidRPr="00137D20" w:rsidRDefault="00A35D38" w:rsidP="00A35D38">
      <w:pPr>
        <w:pStyle w:val="NoSpacing"/>
        <w:rPr>
          <w:rFonts w:cs="Calibri"/>
          <w:sz w:val="24"/>
          <w:szCs w:val="24"/>
        </w:rPr>
      </w:pPr>
      <w:r w:rsidRPr="00137D20">
        <w:rPr>
          <w:rFonts w:cs="Calibri"/>
          <w:sz w:val="24"/>
          <w:szCs w:val="24"/>
        </w:rPr>
        <w:t xml:space="preserve">Mjere zaštite od požara projektirati u skladu s pozitivnim hrvatskim i preuzetim propisima koji reguliraju ovu problematiku s posebnim naglaskom na : </w:t>
      </w:r>
    </w:p>
    <w:p w:rsidR="00A35D38" w:rsidRPr="00137D20" w:rsidRDefault="00A35D38" w:rsidP="00A35D38">
      <w:pPr>
        <w:pStyle w:val="NoSpacing"/>
        <w:rPr>
          <w:rFonts w:cs="Calibr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Pravilnik o uvjetima za vatrogasne pristupe (N.N. 35/94, 142/03)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Pravilnik o hidrantskoj mreži za gašenje požara (N.N. 8/06)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Građevina mora biti udaljena od susjednih građevina najmanje 4m. Ova udaljenost može biti i manja ako se dokaže (uzimajući u obzir požarno opterečenje, brzinu širenja požara, požarne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karakteristike materijala građevina, veličinu otvora na vanjskim zidovima građevina i dr.) da</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se požar neće prenijeti na susjedne građevine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Izlazne putove iz građevina projektirati u skladu s američkim smjernicama NFPA 101 (izdanje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2006. god)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Elemente građevinskih konstrukcija i materijala, protupožarne zidove, prodore cjevovoda,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električnih instalacija te okna i kanala kroz zidove i stropove, ventilacijskevodove, vatrootporna i dimnonepropusna vrata i prozore, zatvarače za zaštitu od požara, ostakljenja otporna prema požaru, pokrov, podne obloge i premaze projektirati i izvesti u skladu s hrvatskim normama HRN DIN 4102.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Garaže projektirati prema austrijskom standardu za objekte za parkiranje TRVB N 106, a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sprinkler uređaj projektirati shodno njemačkim smjernicama VDS.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Za zahtjevne građevine potrebno je ishoditi posebne uvjete građenja Policijske uprave splitsko – dalmatinske, te na osnovu njih izraditi elaborat zaštite od požara, koji će biti podloga za izradu </w:t>
      </w:r>
      <w:r w:rsidRPr="00BC00CC">
        <w:rPr>
          <w:rFonts w:asciiTheme="minorHAnsi" w:hAnsiTheme="minorHAnsi" w:cstheme="minorHAnsi"/>
          <w:strike/>
          <w:sz w:val="24"/>
          <w:szCs w:val="24"/>
        </w:rPr>
        <w:t>na</w:t>
      </w:r>
      <w:r w:rsidRPr="00BC00CC">
        <w:rPr>
          <w:rFonts w:asciiTheme="minorHAnsi" w:hAnsiTheme="minorHAnsi" w:cstheme="minorHAnsi"/>
          <w:sz w:val="24"/>
          <w:szCs w:val="24"/>
        </w:rPr>
        <w:t xml:space="preserve"> glavnog projekta.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b/>
          <w:sz w:val="24"/>
          <w:szCs w:val="24"/>
        </w:rPr>
      </w:pPr>
      <w:r w:rsidRPr="00BC00CC">
        <w:rPr>
          <w:rFonts w:asciiTheme="minorHAnsi" w:hAnsiTheme="minorHAnsi" w:cstheme="minorHAnsi"/>
          <w:b/>
          <w:sz w:val="24"/>
          <w:szCs w:val="24"/>
        </w:rPr>
        <w:t xml:space="preserve">Zaštita od potresa </w:t>
      </w:r>
    </w:p>
    <w:p w:rsidR="00A35D38" w:rsidRPr="00BC00CC" w:rsidRDefault="00A35D38" w:rsidP="00A35D38">
      <w:pPr>
        <w:pStyle w:val="NoSpacing"/>
        <w:rPr>
          <w:rFonts w:asciiTheme="minorHAnsi" w:hAnsiTheme="minorHAnsi" w:cstheme="minorHAnsi"/>
          <w:sz w:val="24"/>
          <w:szCs w:val="24"/>
        </w:rPr>
      </w:pP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Planirane građevine moraju se projektirati u skladu sa važećom tehničkom regulativom koja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određuje uvjete za potresna područja. Kod rekonstruiranja postojećih građevina izdavanje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lokacijskih dozvola ili rješenja o uvjetima građenja treba uvjetovati ojačavanjem konstrukcije </w:t>
      </w:r>
    </w:p>
    <w:p w:rsidR="00A35D38" w:rsidRPr="00BC00CC" w:rsidRDefault="00A35D38" w:rsidP="00A35D38">
      <w:pPr>
        <w:pStyle w:val="NoSpacing"/>
        <w:rPr>
          <w:rFonts w:asciiTheme="minorHAnsi" w:hAnsiTheme="minorHAnsi" w:cstheme="minorHAnsi"/>
          <w:sz w:val="24"/>
          <w:szCs w:val="24"/>
        </w:rPr>
      </w:pPr>
      <w:r w:rsidRPr="00BC00CC">
        <w:rPr>
          <w:rFonts w:asciiTheme="minorHAnsi" w:hAnsiTheme="minorHAnsi" w:cstheme="minorHAnsi"/>
          <w:sz w:val="24"/>
          <w:szCs w:val="24"/>
        </w:rPr>
        <w:t xml:space="preserve">građevine sukladno važećim zakonima, propisima i normama. </w:t>
      </w:r>
    </w:p>
    <w:p w:rsidR="00315132" w:rsidRPr="00BC00CC" w:rsidRDefault="00315132">
      <w:pPr>
        <w:pStyle w:val="janja"/>
        <w:spacing w:before="120"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lastRenderedPageBreak/>
        <w:t xml:space="preserve">10. Mjere provedbe plana </w:t>
      </w:r>
    </w:p>
    <w:p w:rsidR="00137D20" w:rsidRPr="00BC00CC" w:rsidRDefault="00137D20" w:rsidP="00137D20">
      <w:pPr>
        <w:numPr>
          <w:ilvl w:val="0"/>
          <w:numId w:val="0"/>
        </w:numPr>
        <w:rPr>
          <w:rFonts w:asciiTheme="minorHAnsi" w:hAnsiTheme="minorHAnsi" w:cstheme="minorHAnsi"/>
          <w:b/>
          <w:sz w:val="24"/>
          <w:szCs w:val="24"/>
          <w:lang w:val="hr-HR"/>
        </w:rPr>
      </w:pPr>
      <w:r w:rsidRPr="00BC00CC">
        <w:rPr>
          <w:rFonts w:asciiTheme="minorHAnsi" w:hAnsiTheme="minorHAnsi" w:cstheme="minorHAnsi"/>
          <w:b/>
          <w:sz w:val="24"/>
          <w:szCs w:val="24"/>
          <w:lang w:val="hr-HR"/>
        </w:rPr>
        <w:t>Članak 24.</w:t>
      </w:r>
    </w:p>
    <w:p w:rsidR="00137D20" w:rsidRPr="00BC00CC" w:rsidRDefault="00137D20" w:rsidP="00137D20">
      <w:pPr>
        <w:numPr>
          <w:ilvl w:val="0"/>
          <w:numId w:val="0"/>
        </w:numPr>
        <w:rPr>
          <w:rFonts w:asciiTheme="minorHAnsi" w:hAnsiTheme="minorHAnsi" w:cstheme="minorHAnsi"/>
          <w:b/>
          <w:sz w:val="24"/>
          <w:szCs w:val="24"/>
          <w:lang w:val="hr-HR"/>
        </w:rPr>
      </w:pPr>
    </w:p>
    <w:p w:rsidR="00315132" w:rsidRPr="009378F9" w:rsidRDefault="00315132" w:rsidP="00137D20">
      <w:pPr>
        <w:pStyle w:val="Caption"/>
        <w:tabs>
          <w:tab w:val="num" w:pos="426"/>
        </w:tabs>
        <w:jc w:val="left"/>
        <w:rPr>
          <w:rFonts w:asciiTheme="minorHAnsi" w:hAnsiTheme="minorHAnsi" w:cstheme="minorHAnsi"/>
          <w:b w:val="0"/>
          <w:szCs w:val="24"/>
        </w:rPr>
      </w:pPr>
      <w:r w:rsidRPr="009378F9">
        <w:rPr>
          <w:rFonts w:asciiTheme="minorHAnsi" w:hAnsiTheme="minorHAnsi" w:cstheme="minorHAnsi"/>
          <w:b w:val="0"/>
          <w:szCs w:val="24"/>
        </w:rPr>
        <w:t xml:space="preserve">Članak </w:t>
      </w:r>
      <w:r w:rsidR="00D15348" w:rsidRPr="009378F9">
        <w:rPr>
          <w:rFonts w:asciiTheme="minorHAnsi" w:hAnsiTheme="minorHAnsi" w:cstheme="minorHAnsi"/>
          <w:b w:val="0"/>
          <w:szCs w:val="24"/>
        </w:rPr>
        <w:fldChar w:fldCharType="begin"/>
      </w:r>
      <w:r w:rsidRPr="009378F9">
        <w:rPr>
          <w:rFonts w:asciiTheme="minorHAnsi" w:hAnsiTheme="minorHAnsi" w:cstheme="minorHAnsi"/>
          <w:b w:val="0"/>
          <w:szCs w:val="24"/>
        </w:rPr>
        <w:instrText xml:space="preserve"> SEQ Članak \* ARABIC </w:instrText>
      </w:r>
      <w:r w:rsidR="00D15348" w:rsidRPr="009378F9">
        <w:rPr>
          <w:rFonts w:asciiTheme="minorHAnsi" w:hAnsiTheme="minorHAnsi" w:cstheme="minorHAnsi"/>
          <w:b w:val="0"/>
          <w:szCs w:val="24"/>
        </w:rPr>
        <w:fldChar w:fldCharType="separate"/>
      </w:r>
      <w:r w:rsidR="001A3124">
        <w:rPr>
          <w:rFonts w:asciiTheme="minorHAnsi" w:hAnsiTheme="minorHAnsi" w:cstheme="minorHAnsi"/>
          <w:b w:val="0"/>
          <w:noProof/>
          <w:szCs w:val="24"/>
        </w:rPr>
        <w:t>18</w:t>
      </w:r>
      <w:r w:rsidR="00D15348" w:rsidRPr="009378F9">
        <w:rPr>
          <w:rFonts w:asciiTheme="minorHAnsi" w:hAnsiTheme="minorHAnsi" w:cstheme="minorHAnsi"/>
          <w:b w:val="0"/>
          <w:szCs w:val="24"/>
        </w:rPr>
        <w:fldChar w:fldCharType="end"/>
      </w:r>
      <w:r w:rsidRPr="009378F9">
        <w:rPr>
          <w:rFonts w:asciiTheme="minorHAnsi" w:hAnsiTheme="minorHAnsi" w:cstheme="minorHAnsi"/>
          <w:b w:val="0"/>
          <w:szCs w:val="24"/>
        </w:rPr>
        <w:t>.</w:t>
      </w:r>
      <w:r w:rsidR="00137D20" w:rsidRPr="009378F9">
        <w:rPr>
          <w:rFonts w:asciiTheme="minorHAnsi" w:hAnsiTheme="minorHAnsi" w:cstheme="minorHAnsi"/>
          <w:b w:val="0"/>
          <w:szCs w:val="24"/>
        </w:rPr>
        <w:t xml:space="preserve"> mijenja se i sada glasi</w:t>
      </w:r>
      <w:r w:rsidR="009378F9">
        <w:rPr>
          <w:rFonts w:asciiTheme="minorHAnsi" w:hAnsiTheme="minorHAnsi" w:cstheme="minorHAnsi"/>
          <w:b w:val="0"/>
          <w:szCs w:val="24"/>
        </w:rPr>
        <w:t>:</w:t>
      </w:r>
    </w:p>
    <w:p w:rsidR="00315132" w:rsidRPr="00BC00CC" w:rsidRDefault="00137D20">
      <w:pPr>
        <w:pStyle w:val="janja"/>
        <w:spacing w:after="120"/>
        <w:rPr>
          <w:rFonts w:asciiTheme="minorHAnsi" w:hAnsiTheme="minorHAnsi" w:cstheme="minorHAnsi"/>
          <w:sz w:val="24"/>
          <w:szCs w:val="24"/>
          <w:lang w:val="hr-HR"/>
        </w:rPr>
      </w:pPr>
      <w:r w:rsidRPr="00BC00CC">
        <w:rPr>
          <w:rFonts w:asciiTheme="minorHAnsi" w:hAnsiTheme="minorHAnsi" w:cstheme="minorHAnsi"/>
          <w:snapToGrid w:val="0"/>
          <w:sz w:val="24"/>
          <w:szCs w:val="24"/>
          <w:lang w:val="hr-HR"/>
        </w:rPr>
        <w:t>Za građevine osnovne namjene</w:t>
      </w:r>
      <w:r w:rsidR="00315132" w:rsidRPr="00BC00CC">
        <w:rPr>
          <w:rFonts w:asciiTheme="minorHAnsi" w:hAnsiTheme="minorHAnsi" w:cstheme="minorHAnsi"/>
          <w:snapToGrid w:val="0"/>
          <w:sz w:val="24"/>
          <w:szCs w:val="24"/>
          <w:lang w:val="hr-HR"/>
        </w:rPr>
        <w:t xml:space="preserve"> mogu se ishoditi akti kojima se odobrava građenje po ishođenju lokacijskih dozvola i započetim radovima na uređenju prometnih površina s kojih se pristupa tim građevinama.</w:t>
      </w:r>
    </w:p>
    <w:p w:rsidR="00315132" w:rsidRPr="002D479A" w:rsidRDefault="00315132" w:rsidP="002D479A">
      <w:pPr>
        <w:pStyle w:val="janja"/>
        <w:spacing w:after="120"/>
        <w:rPr>
          <w:rFonts w:asciiTheme="minorHAnsi" w:hAnsiTheme="minorHAnsi" w:cstheme="minorHAnsi"/>
          <w:snapToGrid w:val="0"/>
          <w:sz w:val="24"/>
          <w:szCs w:val="24"/>
          <w:lang w:val="hr-HR"/>
        </w:rPr>
      </w:pPr>
      <w:r w:rsidRPr="00BC00CC">
        <w:rPr>
          <w:rFonts w:asciiTheme="minorHAnsi" w:hAnsiTheme="minorHAnsi" w:cstheme="minorHAnsi"/>
          <w:snapToGrid w:val="0"/>
          <w:sz w:val="24"/>
          <w:szCs w:val="24"/>
          <w:lang w:val="hr-HR"/>
        </w:rPr>
        <w:t xml:space="preserve">Kod parcelacije pojedinih prostornih cjelina, </w:t>
      </w:r>
      <w:r w:rsidRPr="00BC00CC">
        <w:rPr>
          <w:rFonts w:asciiTheme="minorHAnsi" w:hAnsiTheme="minorHAnsi" w:cstheme="minorHAnsi"/>
          <w:sz w:val="24"/>
          <w:szCs w:val="24"/>
        </w:rPr>
        <w:t xml:space="preserve">u slučaju nemogućnosti formiranja preostale čestice, </w:t>
      </w:r>
      <w:r w:rsidRPr="00BC00CC">
        <w:rPr>
          <w:rFonts w:asciiTheme="minorHAnsi" w:hAnsiTheme="minorHAnsi" w:cstheme="minorHAnsi"/>
          <w:snapToGrid w:val="0"/>
          <w:sz w:val="24"/>
          <w:szCs w:val="24"/>
          <w:lang w:val="hr-HR"/>
        </w:rPr>
        <w:t>moguće je odstupiti od minimalne propisane pov</w:t>
      </w:r>
      <w:r w:rsidR="002D479A">
        <w:rPr>
          <w:rFonts w:asciiTheme="minorHAnsi" w:hAnsiTheme="minorHAnsi" w:cstheme="minorHAnsi"/>
          <w:snapToGrid w:val="0"/>
          <w:sz w:val="24"/>
          <w:szCs w:val="24"/>
          <w:lang w:val="hr-HR"/>
        </w:rPr>
        <w:t xml:space="preserve">ršine građevne čestice do 10%. </w:t>
      </w:r>
    </w:p>
    <w:p w:rsidR="00315132" w:rsidRPr="00BC00CC" w:rsidRDefault="00315132">
      <w:pPr>
        <w:pStyle w:val="janja"/>
        <w:spacing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 xml:space="preserve">10.1. Obveza izrade detaljnih planova uređenja </w:t>
      </w:r>
    </w:p>
    <w:p w:rsidR="00315132" w:rsidRPr="00BC00CC" w:rsidRDefault="00315132">
      <w:pPr>
        <w:pStyle w:val="Caption"/>
        <w:tabs>
          <w:tab w:val="num" w:pos="426"/>
        </w:tabs>
        <w:ind w:left="426"/>
        <w:rPr>
          <w:rFonts w:asciiTheme="minorHAnsi" w:hAnsiTheme="minorHAnsi" w:cstheme="minorHAnsi"/>
          <w:szCs w:val="24"/>
        </w:rPr>
      </w:pPr>
    </w:p>
    <w:p w:rsidR="00137D20" w:rsidRPr="00BC00CC" w:rsidRDefault="00137D20" w:rsidP="00137D20">
      <w:pPr>
        <w:pStyle w:val="Caption"/>
        <w:tabs>
          <w:tab w:val="num" w:pos="426"/>
        </w:tabs>
        <w:jc w:val="left"/>
        <w:rPr>
          <w:rFonts w:asciiTheme="minorHAnsi" w:hAnsiTheme="minorHAnsi" w:cstheme="minorHAnsi"/>
          <w:szCs w:val="24"/>
        </w:rPr>
      </w:pPr>
      <w:r w:rsidRPr="00BC00CC">
        <w:rPr>
          <w:rFonts w:asciiTheme="minorHAnsi" w:hAnsiTheme="minorHAnsi" w:cstheme="minorHAnsi"/>
          <w:szCs w:val="24"/>
        </w:rPr>
        <w:t>Članak 25.</w:t>
      </w:r>
    </w:p>
    <w:p w:rsidR="00315132" w:rsidRPr="009378F9" w:rsidRDefault="00315132" w:rsidP="00137D20">
      <w:pPr>
        <w:pStyle w:val="Caption"/>
        <w:tabs>
          <w:tab w:val="num" w:pos="426"/>
        </w:tabs>
        <w:jc w:val="left"/>
        <w:rPr>
          <w:rFonts w:asciiTheme="minorHAnsi" w:hAnsiTheme="minorHAnsi" w:cstheme="minorHAnsi"/>
          <w:b w:val="0"/>
          <w:szCs w:val="24"/>
        </w:rPr>
      </w:pPr>
      <w:r w:rsidRPr="009378F9">
        <w:rPr>
          <w:rFonts w:asciiTheme="minorHAnsi" w:hAnsiTheme="minorHAnsi" w:cstheme="minorHAnsi"/>
          <w:b w:val="0"/>
          <w:szCs w:val="24"/>
        </w:rPr>
        <w:t xml:space="preserve">Članak </w:t>
      </w:r>
      <w:r w:rsidR="00D15348" w:rsidRPr="009378F9">
        <w:rPr>
          <w:rFonts w:asciiTheme="minorHAnsi" w:hAnsiTheme="minorHAnsi" w:cstheme="minorHAnsi"/>
          <w:b w:val="0"/>
          <w:szCs w:val="24"/>
        </w:rPr>
        <w:fldChar w:fldCharType="begin"/>
      </w:r>
      <w:r w:rsidRPr="009378F9">
        <w:rPr>
          <w:rFonts w:asciiTheme="minorHAnsi" w:hAnsiTheme="minorHAnsi" w:cstheme="minorHAnsi"/>
          <w:b w:val="0"/>
          <w:szCs w:val="24"/>
        </w:rPr>
        <w:instrText xml:space="preserve"> SEQ Članak \* ARABIC </w:instrText>
      </w:r>
      <w:r w:rsidR="00D15348" w:rsidRPr="009378F9">
        <w:rPr>
          <w:rFonts w:asciiTheme="minorHAnsi" w:hAnsiTheme="minorHAnsi" w:cstheme="minorHAnsi"/>
          <w:b w:val="0"/>
          <w:szCs w:val="24"/>
        </w:rPr>
        <w:fldChar w:fldCharType="separate"/>
      </w:r>
      <w:r w:rsidR="001A3124">
        <w:rPr>
          <w:rFonts w:asciiTheme="minorHAnsi" w:hAnsiTheme="minorHAnsi" w:cstheme="minorHAnsi"/>
          <w:b w:val="0"/>
          <w:noProof/>
          <w:szCs w:val="24"/>
        </w:rPr>
        <w:t>19</w:t>
      </w:r>
      <w:r w:rsidR="00D15348" w:rsidRPr="009378F9">
        <w:rPr>
          <w:rFonts w:asciiTheme="minorHAnsi" w:hAnsiTheme="minorHAnsi" w:cstheme="minorHAnsi"/>
          <w:b w:val="0"/>
          <w:szCs w:val="24"/>
        </w:rPr>
        <w:fldChar w:fldCharType="end"/>
      </w:r>
      <w:r w:rsidRPr="009378F9">
        <w:rPr>
          <w:rFonts w:asciiTheme="minorHAnsi" w:hAnsiTheme="minorHAnsi" w:cstheme="minorHAnsi"/>
          <w:b w:val="0"/>
          <w:szCs w:val="24"/>
        </w:rPr>
        <w:t>.</w:t>
      </w:r>
      <w:r w:rsidR="00137D20" w:rsidRPr="009378F9">
        <w:rPr>
          <w:rFonts w:asciiTheme="minorHAnsi" w:hAnsiTheme="minorHAnsi" w:cstheme="minorHAnsi"/>
          <w:b w:val="0"/>
          <w:szCs w:val="24"/>
        </w:rPr>
        <w:t xml:space="preserve"> se briše</w:t>
      </w:r>
    </w:p>
    <w:p w:rsidR="00A77572" w:rsidRPr="00BC00CC" w:rsidRDefault="00A77572">
      <w:pPr>
        <w:pStyle w:val="janja"/>
        <w:spacing w:after="144"/>
        <w:rPr>
          <w:rFonts w:asciiTheme="minorHAnsi" w:hAnsiTheme="minorHAnsi" w:cstheme="minorHAnsi"/>
          <w:b/>
          <w:sz w:val="24"/>
          <w:szCs w:val="24"/>
          <w:lang w:val="hr-HR"/>
        </w:rPr>
      </w:pPr>
    </w:p>
    <w:p w:rsidR="00315132" w:rsidRPr="00BC00CC" w:rsidRDefault="00315132">
      <w:pPr>
        <w:pStyle w:val="janja"/>
        <w:spacing w:after="144"/>
        <w:rPr>
          <w:rFonts w:asciiTheme="minorHAnsi" w:hAnsiTheme="minorHAnsi" w:cstheme="minorHAnsi"/>
          <w:b/>
          <w:sz w:val="24"/>
          <w:szCs w:val="24"/>
          <w:lang w:val="hr-HR"/>
        </w:rPr>
      </w:pPr>
      <w:r w:rsidRPr="00BC00CC">
        <w:rPr>
          <w:rFonts w:asciiTheme="minorHAnsi" w:hAnsiTheme="minorHAnsi" w:cstheme="minorHAnsi"/>
          <w:b/>
          <w:sz w:val="24"/>
          <w:szCs w:val="24"/>
          <w:lang w:val="hr-HR"/>
        </w:rPr>
        <w:t>10.2. Rekonstrukcija građevina čija je namjena protivna planiranoj namjeni</w:t>
      </w:r>
    </w:p>
    <w:p w:rsidR="00315132" w:rsidRPr="00BC00CC" w:rsidRDefault="00315132">
      <w:pPr>
        <w:pStyle w:val="Caption"/>
        <w:tabs>
          <w:tab w:val="num" w:pos="426"/>
        </w:tabs>
        <w:ind w:left="426"/>
        <w:rPr>
          <w:rFonts w:asciiTheme="minorHAnsi" w:hAnsiTheme="minorHAnsi" w:cstheme="minorHAnsi"/>
          <w:szCs w:val="24"/>
        </w:rPr>
      </w:pPr>
    </w:p>
    <w:p w:rsidR="00137D20" w:rsidRPr="00BC00CC" w:rsidRDefault="00137D20" w:rsidP="00137D20">
      <w:pPr>
        <w:pStyle w:val="Caption"/>
        <w:tabs>
          <w:tab w:val="num" w:pos="426"/>
        </w:tabs>
        <w:jc w:val="left"/>
        <w:rPr>
          <w:rFonts w:asciiTheme="minorHAnsi" w:hAnsiTheme="minorHAnsi" w:cstheme="minorHAnsi"/>
          <w:szCs w:val="24"/>
        </w:rPr>
      </w:pPr>
      <w:r w:rsidRPr="00BC00CC">
        <w:rPr>
          <w:rFonts w:asciiTheme="minorHAnsi" w:hAnsiTheme="minorHAnsi" w:cstheme="minorHAnsi"/>
          <w:szCs w:val="24"/>
        </w:rPr>
        <w:t>Članak 26.</w:t>
      </w:r>
    </w:p>
    <w:p w:rsidR="00315132" w:rsidRPr="009378F9" w:rsidRDefault="00315132" w:rsidP="00137D20">
      <w:pPr>
        <w:pStyle w:val="Caption"/>
        <w:tabs>
          <w:tab w:val="num" w:pos="426"/>
        </w:tabs>
        <w:jc w:val="left"/>
        <w:rPr>
          <w:rFonts w:asciiTheme="minorHAnsi" w:hAnsiTheme="minorHAnsi" w:cstheme="minorHAnsi"/>
          <w:b w:val="0"/>
          <w:szCs w:val="24"/>
        </w:rPr>
      </w:pPr>
      <w:r w:rsidRPr="009378F9">
        <w:rPr>
          <w:rFonts w:asciiTheme="minorHAnsi" w:hAnsiTheme="minorHAnsi" w:cstheme="minorHAnsi"/>
          <w:b w:val="0"/>
          <w:szCs w:val="24"/>
        </w:rPr>
        <w:t xml:space="preserve">Članak </w:t>
      </w:r>
      <w:r w:rsidR="00D15348" w:rsidRPr="009378F9">
        <w:rPr>
          <w:rFonts w:asciiTheme="minorHAnsi" w:hAnsiTheme="minorHAnsi" w:cstheme="minorHAnsi"/>
          <w:b w:val="0"/>
          <w:szCs w:val="24"/>
        </w:rPr>
        <w:fldChar w:fldCharType="begin"/>
      </w:r>
      <w:r w:rsidRPr="009378F9">
        <w:rPr>
          <w:rFonts w:asciiTheme="minorHAnsi" w:hAnsiTheme="minorHAnsi" w:cstheme="minorHAnsi"/>
          <w:b w:val="0"/>
          <w:szCs w:val="24"/>
        </w:rPr>
        <w:instrText xml:space="preserve"> SEQ Članak \* ARABIC </w:instrText>
      </w:r>
      <w:r w:rsidR="00D15348" w:rsidRPr="009378F9">
        <w:rPr>
          <w:rFonts w:asciiTheme="minorHAnsi" w:hAnsiTheme="minorHAnsi" w:cstheme="minorHAnsi"/>
          <w:b w:val="0"/>
          <w:szCs w:val="24"/>
        </w:rPr>
        <w:fldChar w:fldCharType="separate"/>
      </w:r>
      <w:r w:rsidR="001A3124">
        <w:rPr>
          <w:rFonts w:asciiTheme="minorHAnsi" w:hAnsiTheme="minorHAnsi" w:cstheme="minorHAnsi"/>
          <w:b w:val="0"/>
          <w:noProof/>
          <w:szCs w:val="24"/>
        </w:rPr>
        <w:t>20</w:t>
      </w:r>
      <w:r w:rsidR="00D15348" w:rsidRPr="009378F9">
        <w:rPr>
          <w:rFonts w:asciiTheme="minorHAnsi" w:hAnsiTheme="minorHAnsi" w:cstheme="minorHAnsi"/>
          <w:b w:val="0"/>
          <w:szCs w:val="24"/>
        </w:rPr>
        <w:fldChar w:fldCharType="end"/>
      </w:r>
      <w:r w:rsidRPr="009378F9">
        <w:rPr>
          <w:rFonts w:asciiTheme="minorHAnsi" w:hAnsiTheme="minorHAnsi" w:cstheme="minorHAnsi"/>
          <w:b w:val="0"/>
          <w:szCs w:val="24"/>
        </w:rPr>
        <w:t>.</w:t>
      </w:r>
      <w:r w:rsidR="009378F9">
        <w:rPr>
          <w:rFonts w:asciiTheme="minorHAnsi" w:hAnsiTheme="minorHAnsi" w:cstheme="minorHAnsi"/>
          <w:b w:val="0"/>
          <w:szCs w:val="24"/>
        </w:rPr>
        <w:t xml:space="preserve"> m</w:t>
      </w:r>
      <w:r w:rsidR="00137D20" w:rsidRPr="009378F9">
        <w:rPr>
          <w:rFonts w:asciiTheme="minorHAnsi" w:hAnsiTheme="minorHAnsi" w:cstheme="minorHAnsi"/>
          <w:b w:val="0"/>
          <w:szCs w:val="24"/>
        </w:rPr>
        <w:t>ijenja se i sada glasi:</w:t>
      </w:r>
    </w:p>
    <w:p w:rsidR="00315132" w:rsidRPr="00BC00CC" w:rsidRDefault="00315132">
      <w:pPr>
        <w:pStyle w:val="janja"/>
        <w:spacing w:before="120" w:after="120"/>
        <w:rPr>
          <w:rFonts w:asciiTheme="minorHAnsi" w:hAnsiTheme="minorHAnsi" w:cstheme="minorHAnsi"/>
          <w:sz w:val="24"/>
          <w:szCs w:val="24"/>
          <w:lang w:val="hr-HR"/>
        </w:rPr>
      </w:pPr>
      <w:r w:rsidRPr="00BC00CC">
        <w:rPr>
          <w:rFonts w:asciiTheme="minorHAnsi" w:hAnsiTheme="minorHAnsi" w:cstheme="minorHAnsi"/>
          <w:sz w:val="24"/>
          <w:szCs w:val="24"/>
          <w:lang w:val="hr-HR"/>
        </w:rPr>
        <w:t xml:space="preserve">U obuhvatu </w:t>
      </w:r>
      <w:r w:rsidR="00160E7F" w:rsidRPr="00BC00CC">
        <w:rPr>
          <w:rFonts w:asciiTheme="minorHAnsi" w:hAnsiTheme="minorHAnsi" w:cstheme="minorHAnsi"/>
          <w:sz w:val="24"/>
          <w:szCs w:val="24"/>
          <w:lang w:val="hr-HR"/>
        </w:rPr>
        <w:t>ID</w:t>
      </w:r>
      <w:r w:rsidRPr="00BC00CC">
        <w:rPr>
          <w:rFonts w:asciiTheme="minorHAnsi" w:hAnsiTheme="minorHAnsi" w:cstheme="minorHAnsi"/>
          <w:sz w:val="24"/>
          <w:szCs w:val="24"/>
          <w:lang w:val="hr-HR"/>
        </w:rPr>
        <w:t>UPU-a nema građevina protivnih planiranoj namjeni.</w:t>
      </w:r>
    </w:p>
    <w:p w:rsidR="002D479A" w:rsidRDefault="002D479A">
      <w:pPr>
        <w:pStyle w:val="Heading4"/>
        <w:tabs>
          <w:tab w:val="clear" w:pos="0"/>
        </w:tabs>
        <w:spacing w:after="0"/>
        <w:rPr>
          <w:rFonts w:asciiTheme="minorHAnsi" w:hAnsiTheme="minorHAnsi" w:cstheme="minorHAnsi"/>
          <w:sz w:val="24"/>
          <w:szCs w:val="24"/>
          <w:lang w:val="en-GB"/>
        </w:rPr>
      </w:pPr>
    </w:p>
    <w:p w:rsidR="00315132" w:rsidRPr="00BC00CC" w:rsidRDefault="00315132">
      <w:pPr>
        <w:pStyle w:val="Heading4"/>
        <w:tabs>
          <w:tab w:val="clear" w:pos="0"/>
        </w:tabs>
        <w:spacing w:after="0"/>
        <w:rPr>
          <w:rFonts w:asciiTheme="minorHAnsi" w:hAnsiTheme="minorHAnsi" w:cstheme="minorHAnsi"/>
          <w:sz w:val="24"/>
          <w:szCs w:val="24"/>
          <w:lang w:val="en-GB"/>
        </w:rPr>
      </w:pPr>
      <w:r w:rsidRPr="00BC00CC">
        <w:rPr>
          <w:rFonts w:asciiTheme="minorHAnsi" w:hAnsiTheme="minorHAnsi" w:cstheme="minorHAnsi"/>
          <w:sz w:val="24"/>
          <w:szCs w:val="24"/>
          <w:lang w:val="en-GB"/>
        </w:rPr>
        <w:t>PRIJELAZNE I ZAVRŠNE ODREDBE</w:t>
      </w:r>
    </w:p>
    <w:p w:rsidR="00137D20" w:rsidRPr="00BC00CC" w:rsidRDefault="00137D20" w:rsidP="00137D20">
      <w:pPr>
        <w:pStyle w:val="Caption"/>
        <w:tabs>
          <w:tab w:val="num" w:pos="426"/>
        </w:tabs>
        <w:jc w:val="left"/>
        <w:rPr>
          <w:rFonts w:asciiTheme="minorHAnsi" w:hAnsiTheme="minorHAnsi" w:cstheme="minorHAnsi"/>
          <w:b w:val="0"/>
          <w:szCs w:val="24"/>
          <w:lang w:val="en-GB"/>
        </w:rPr>
      </w:pPr>
    </w:p>
    <w:p w:rsidR="00137D20" w:rsidRPr="002D479A" w:rsidRDefault="00137D20" w:rsidP="00137D20">
      <w:pPr>
        <w:pStyle w:val="Caption"/>
        <w:tabs>
          <w:tab w:val="num" w:pos="426"/>
        </w:tabs>
        <w:jc w:val="left"/>
        <w:rPr>
          <w:rFonts w:asciiTheme="minorHAnsi" w:hAnsiTheme="minorHAnsi" w:cstheme="minorHAnsi"/>
          <w:szCs w:val="24"/>
          <w:lang w:val="en-GB"/>
        </w:rPr>
      </w:pPr>
      <w:r w:rsidRPr="002D479A">
        <w:rPr>
          <w:rFonts w:asciiTheme="minorHAnsi" w:hAnsiTheme="minorHAnsi" w:cstheme="minorHAnsi"/>
          <w:szCs w:val="24"/>
          <w:lang w:val="en-GB"/>
        </w:rPr>
        <w:t>Članak 27.</w:t>
      </w:r>
    </w:p>
    <w:p w:rsidR="00315132" w:rsidRPr="00BC00CC" w:rsidRDefault="00315132">
      <w:pPr>
        <w:pStyle w:val="Caption"/>
        <w:tabs>
          <w:tab w:val="num" w:pos="426"/>
        </w:tabs>
        <w:ind w:left="426"/>
        <w:rPr>
          <w:rFonts w:asciiTheme="minorHAnsi" w:hAnsiTheme="minorHAnsi" w:cstheme="minorHAnsi"/>
          <w:szCs w:val="24"/>
        </w:rPr>
      </w:pPr>
    </w:p>
    <w:p w:rsidR="00315132" w:rsidRPr="00BC00CC" w:rsidRDefault="00315132">
      <w:pPr>
        <w:numPr>
          <w:ilvl w:val="0"/>
          <w:numId w:val="0"/>
        </w:numPr>
        <w:spacing w:before="120"/>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Elaborat</w:t>
      </w:r>
      <w:r w:rsidR="00160E7F" w:rsidRPr="00BC00CC">
        <w:rPr>
          <w:rFonts w:asciiTheme="minorHAnsi" w:hAnsiTheme="minorHAnsi" w:cstheme="minorHAnsi"/>
          <w:sz w:val="24"/>
          <w:szCs w:val="24"/>
          <w:lang w:val="hr-HR"/>
        </w:rPr>
        <w:t xml:space="preserve"> ID</w:t>
      </w:r>
      <w:r w:rsidRPr="00BC00CC">
        <w:rPr>
          <w:rFonts w:asciiTheme="minorHAnsi" w:hAnsiTheme="minorHAnsi" w:cstheme="minorHAnsi"/>
          <w:sz w:val="24"/>
          <w:szCs w:val="24"/>
          <w:lang w:val="hr-HR"/>
        </w:rPr>
        <w:t xml:space="preserve"> UPU-a sačinjen je u 6 izvornika i u digitalnom obliku.</w:t>
      </w:r>
    </w:p>
    <w:p w:rsidR="00315132" w:rsidRPr="00BC00CC" w:rsidRDefault="00315132">
      <w:pPr>
        <w:numPr>
          <w:ilvl w:val="0"/>
          <w:numId w:val="0"/>
        </w:numPr>
        <w:ind w:right="-2"/>
        <w:jc w:val="both"/>
        <w:rPr>
          <w:rFonts w:asciiTheme="minorHAnsi" w:hAnsiTheme="minorHAnsi" w:cstheme="minorHAnsi"/>
          <w:sz w:val="24"/>
          <w:szCs w:val="24"/>
          <w:lang w:val="hr-HR"/>
        </w:rPr>
      </w:pPr>
      <w:r w:rsidRPr="00BC00CC">
        <w:rPr>
          <w:rFonts w:asciiTheme="minorHAnsi" w:hAnsiTheme="minorHAnsi" w:cstheme="minorHAnsi"/>
          <w:sz w:val="24"/>
          <w:szCs w:val="24"/>
          <w:lang w:val="hr-HR"/>
        </w:rPr>
        <w:t>Ovjeren pečatom Općinskog  vijeća Općine Sutivan i potpisom predsjednika Općinskog vijeća, čuva se u jedinstvenom upravnom odjelu Općine Sutivan i u nadležnom Uredu u splitsko– dalmatinskoj županiji.</w:t>
      </w:r>
    </w:p>
    <w:p w:rsidR="00315132" w:rsidRPr="00BC00CC" w:rsidRDefault="00315132">
      <w:pPr>
        <w:numPr>
          <w:ilvl w:val="0"/>
          <w:numId w:val="0"/>
        </w:numPr>
        <w:ind w:right="-2"/>
        <w:jc w:val="both"/>
        <w:rPr>
          <w:rFonts w:asciiTheme="minorHAnsi" w:hAnsiTheme="minorHAnsi" w:cstheme="minorHAnsi"/>
          <w:sz w:val="24"/>
          <w:szCs w:val="24"/>
        </w:rPr>
      </w:pPr>
    </w:p>
    <w:p w:rsidR="00315132" w:rsidRPr="00BC00CC" w:rsidRDefault="00315132">
      <w:pPr>
        <w:numPr>
          <w:ilvl w:val="0"/>
          <w:numId w:val="0"/>
        </w:numPr>
        <w:ind w:right="-2"/>
        <w:jc w:val="both"/>
        <w:rPr>
          <w:rFonts w:asciiTheme="minorHAnsi" w:hAnsiTheme="minorHAnsi" w:cstheme="minorHAnsi"/>
          <w:sz w:val="24"/>
          <w:szCs w:val="24"/>
        </w:rPr>
      </w:pPr>
    </w:p>
    <w:p w:rsidR="00315132" w:rsidRPr="002D479A" w:rsidRDefault="00137D20" w:rsidP="00137D20">
      <w:pPr>
        <w:pStyle w:val="Caption"/>
        <w:tabs>
          <w:tab w:val="num" w:pos="426"/>
        </w:tabs>
        <w:jc w:val="left"/>
        <w:rPr>
          <w:rFonts w:asciiTheme="minorHAnsi" w:hAnsiTheme="minorHAnsi" w:cstheme="minorHAnsi"/>
          <w:szCs w:val="24"/>
        </w:rPr>
      </w:pPr>
      <w:r w:rsidRPr="00BC00CC">
        <w:rPr>
          <w:rFonts w:asciiTheme="minorHAnsi" w:hAnsiTheme="minorHAnsi" w:cstheme="minorHAnsi"/>
          <w:szCs w:val="24"/>
        </w:rPr>
        <w:t>Članak 28</w:t>
      </w:r>
      <w:r w:rsidR="002D479A">
        <w:rPr>
          <w:rFonts w:asciiTheme="minorHAnsi" w:hAnsiTheme="minorHAnsi" w:cstheme="minorHAnsi"/>
          <w:szCs w:val="24"/>
        </w:rPr>
        <w:t>.</w:t>
      </w:r>
    </w:p>
    <w:p w:rsidR="00315132" w:rsidRPr="00BC00CC" w:rsidRDefault="00315132">
      <w:pPr>
        <w:numPr>
          <w:ilvl w:val="0"/>
          <w:numId w:val="0"/>
        </w:numPr>
        <w:spacing w:before="120"/>
        <w:ind w:right="-851"/>
        <w:jc w:val="both"/>
        <w:rPr>
          <w:rFonts w:asciiTheme="minorHAnsi" w:hAnsiTheme="minorHAnsi" w:cstheme="minorHAnsi"/>
          <w:sz w:val="24"/>
          <w:szCs w:val="24"/>
        </w:rPr>
      </w:pPr>
      <w:r w:rsidRPr="00BC00CC">
        <w:rPr>
          <w:rFonts w:asciiTheme="minorHAnsi" w:hAnsiTheme="minorHAnsi" w:cstheme="minorHAnsi"/>
          <w:sz w:val="24"/>
          <w:szCs w:val="24"/>
        </w:rPr>
        <w:t xml:space="preserve">Ova odluka stupa na snagu </w:t>
      </w:r>
      <w:r w:rsidR="002D479A">
        <w:rPr>
          <w:rFonts w:asciiTheme="minorHAnsi" w:hAnsiTheme="minorHAnsi" w:cstheme="minorHAnsi"/>
          <w:sz w:val="24"/>
          <w:szCs w:val="24"/>
        </w:rPr>
        <w:t>8 dana od</w:t>
      </w:r>
      <w:r w:rsidR="005508C5" w:rsidRPr="00BC00CC">
        <w:rPr>
          <w:rFonts w:asciiTheme="minorHAnsi" w:hAnsiTheme="minorHAnsi" w:cstheme="minorHAnsi"/>
          <w:sz w:val="24"/>
          <w:szCs w:val="24"/>
        </w:rPr>
        <w:t xml:space="preserve"> dana</w:t>
      </w:r>
      <w:r w:rsidRPr="00BC00CC">
        <w:rPr>
          <w:rFonts w:asciiTheme="minorHAnsi" w:hAnsiTheme="minorHAnsi" w:cstheme="minorHAnsi"/>
          <w:sz w:val="24"/>
          <w:szCs w:val="24"/>
        </w:rPr>
        <w:t>objave u “Službenom glasniku Općine Sutivan”.</w:t>
      </w:r>
    </w:p>
    <w:p w:rsidR="006A35D3" w:rsidRDefault="006A35D3">
      <w:pPr>
        <w:numPr>
          <w:ilvl w:val="0"/>
          <w:numId w:val="0"/>
        </w:numPr>
        <w:ind w:right="-2"/>
        <w:jc w:val="both"/>
        <w:rPr>
          <w:rFonts w:asciiTheme="minorHAnsi" w:hAnsiTheme="minorHAnsi" w:cstheme="minorHAnsi"/>
          <w:sz w:val="24"/>
          <w:szCs w:val="24"/>
        </w:rPr>
      </w:pPr>
    </w:p>
    <w:p w:rsidR="0068086C" w:rsidRPr="00BC00CC" w:rsidRDefault="0068086C">
      <w:pPr>
        <w:numPr>
          <w:ilvl w:val="0"/>
          <w:numId w:val="0"/>
        </w:numPr>
        <w:ind w:right="-2"/>
        <w:jc w:val="both"/>
        <w:rPr>
          <w:rFonts w:asciiTheme="minorHAnsi" w:hAnsiTheme="minorHAnsi" w:cstheme="minorHAnsi"/>
          <w:sz w:val="24"/>
          <w:szCs w:val="24"/>
        </w:rPr>
      </w:pPr>
    </w:p>
    <w:p w:rsidR="00315132" w:rsidRPr="00BC00CC" w:rsidRDefault="0068086C">
      <w:pPr>
        <w:numPr>
          <w:ilvl w:val="0"/>
          <w:numId w:val="0"/>
        </w:numPr>
        <w:ind w:right="-2"/>
        <w:jc w:val="both"/>
        <w:rPr>
          <w:rFonts w:asciiTheme="minorHAnsi" w:hAnsiTheme="minorHAnsi" w:cstheme="minorHAnsi"/>
          <w:sz w:val="24"/>
          <w:szCs w:val="24"/>
        </w:rPr>
      </w:pPr>
      <w:r>
        <w:rPr>
          <w:rFonts w:asciiTheme="minorHAnsi" w:hAnsiTheme="minorHAnsi" w:cstheme="minorHAnsi"/>
          <w:sz w:val="24"/>
          <w:szCs w:val="24"/>
        </w:rPr>
        <w:t>KLASA: 350-01/18-01/0007</w:t>
      </w:r>
    </w:p>
    <w:p w:rsidR="00315132" w:rsidRPr="00BC00CC" w:rsidRDefault="00315132">
      <w:pPr>
        <w:numPr>
          <w:ilvl w:val="0"/>
          <w:numId w:val="0"/>
        </w:numPr>
        <w:ind w:right="-2"/>
        <w:jc w:val="both"/>
        <w:rPr>
          <w:rFonts w:asciiTheme="minorHAnsi" w:hAnsiTheme="minorHAnsi" w:cstheme="minorHAnsi"/>
          <w:sz w:val="24"/>
          <w:szCs w:val="24"/>
        </w:rPr>
      </w:pPr>
      <w:r w:rsidRPr="00BC00CC">
        <w:rPr>
          <w:rFonts w:asciiTheme="minorHAnsi" w:hAnsiTheme="minorHAnsi" w:cstheme="minorHAnsi"/>
          <w:sz w:val="24"/>
          <w:szCs w:val="24"/>
        </w:rPr>
        <w:t>URBRO</w:t>
      </w:r>
      <w:r w:rsidR="0068086C">
        <w:rPr>
          <w:rFonts w:asciiTheme="minorHAnsi" w:hAnsiTheme="minorHAnsi" w:cstheme="minorHAnsi"/>
          <w:sz w:val="24"/>
          <w:szCs w:val="24"/>
        </w:rPr>
        <w:t>J: 2104/08-03/1-20-0032</w:t>
      </w:r>
    </w:p>
    <w:p w:rsidR="00315132" w:rsidRPr="00BC00CC" w:rsidRDefault="0068086C">
      <w:pPr>
        <w:numPr>
          <w:ilvl w:val="0"/>
          <w:numId w:val="0"/>
        </w:numPr>
        <w:ind w:right="-2"/>
        <w:jc w:val="both"/>
        <w:rPr>
          <w:rFonts w:asciiTheme="minorHAnsi" w:hAnsiTheme="minorHAnsi" w:cstheme="minorHAnsi"/>
          <w:sz w:val="24"/>
          <w:szCs w:val="24"/>
        </w:rPr>
      </w:pPr>
      <w:r>
        <w:rPr>
          <w:rFonts w:asciiTheme="minorHAnsi" w:hAnsiTheme="minorHAnsi" w:cstheme="minorHAnsi"/>
          <w:sz w:val="24"/>
          <w:szCs w:val="24"/>
        </w:rPr>
        <w:t>U Sutivanu, dana 17. o</w:t>
      </w:r>
      <w:bookmarkStart w:id="0" w:name="_GoBack"/>
      <w:bookmarkEnd w:id="0"/>
      <w:r>
        <w:rPr>
          <w:rFonts w:asciiTheme="minorHAnsi" w:hAnsiTheme="minorHAnsi" w:cstheme="minorHAnsi"/>
          <w:sz w:val="24"/>
          <w:szCs w:val="24"/>
        </w:rPr>
        <w:t>žujka 2020. godine</w:t>
      </w:r>
    </w:p>
    <w:p w:rsidR="00315132" w:rsidRPr="00BC00CC" w:rsidRDefault="00315132">
      <w:pPr>
        <w:pStyle w:val="Heading3"/>
        <w:ind w:left="4320" w:firstLine="720"/>
        <w:rPr>
          <w:rFonts w:asciiTheme="minorHAnsi" w:hAnsiTheme="minorHAnsi" w:cstheme="minorHAnsi"/>
          <w:color w:val="auto"/>
          <w:sz w:val="24"/>
          <w:szCs w:val="24"/>
        </w:rPr>
      </w:pPr>
    </w:p>
    <w:p w:rsidR="00315132" w:rsidRDefault="00315132" w:rsidP="00683A19">
      <w:pPr>
        <w:pStyle w:val="Heading3"/>
        <w:ind w:left="5760"/>
        <w:rPr>
          <w:rFonts w:asciiTheme="minorHAnsi" w:hAnsiTheme="minorHAnsi" w:cstheme="minorHAnsi"/>
          <w:sz w:val="24"/>
          <w:szCs w:val="24"/>
        </w:rPr>
      </w:pPr>
      <w:r w:rsidRPr="00BC00CC">
        <w:rPr>
          <w:rFonts w:asciiTheme="minorHAnsi" w:hAnsiTheme="minorHAnsi" w:cstheme="minorHAnsi"/>
          <w:color w:val="auto"/>
          <w:sz w:val="24"/>
          <w:szCs w:val="24"/>
        </w:rPr>
        <w:t>Predsjednik</w:t>
      </w:r>
      <w:r w:rsidR="00683A19" w:rsidRPr="00BC00CC">
        <w:rPr>
          <w:rFonts w:asciiTheme="minorHAnsi" w:hAnsiTheme="minorHAnsi" w:cstheme="minorHAnsi"/>
          <w:sz w:val="24"/>
          <w:szCs w:val="24"/>
        </w:rPr>
        <w:t xml:space="preserve"> Općinskog Vijeća</w:t>
      </w:r>
    </w:p>
    <w:p w:rsidR="009E3421" w:rsidRPr="009E3421" w:rsidRDefault="009E3421" w:rsidP="009E3421">
      <w:pPr>
        <w:numPr>
          <w:ilvl w:val="0"/>
          <w:numId w:val="0"/>
        </w:numPr>
        <w:ind w:left="709"/>
        <w:rPr>
          <w:lang w:val="hr-HR"/>
        </w:rPr>
      </w:pPr>
    </w:p>
    <w:p w:rsidR="00315132" w:rsidRPr="006070A7" w:rsidRDefault="00315132" w:rsidP="006070A7">
      <w:pPr>
        <w:numPr>
          <w:ilvl w:val="0"/>
          <w:numId w:val="0"/>
        </w:numPr>
        <w:ind w:right="-2"/>
        <w:jc w:val="both"/>
        <w:rPr>
          <w:rFonts w:ascii="Calibri" w:hAnsi="Calibri" w:cs="Calibri"/>
          <w:sz w:val="24"/>
          <w:szCs w:val="24"/>
        </w:rPr>
      </w:pP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001F763E" w:rsidRPr="00BC00CC">
        <w:rPr>
          <w:rFonts w:asciiTheme="minorHAnsi" w:hAnsiTheme="minorHAnsi" w:cstheme="minorHAnsi"/>
          <w:sz w:val="24"/>
          <w:szCs w:val="24"/>
          <w:lang w:val="hr-HR"/>
        </w:rPr>
        <w:t>Bartul Lukšić</w:t>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Pr="00BC00CC">
        <w:rPr>
          <w:rFonts w:asciiTheme="minorHAnsi" w:hAnsiTheme="minorHAnsi" w:cstheme="minorHAnsi"/>
          <w:sz w:val="24"/>
          <w:szCs w:val="24"/>
        </w:rPr>
        <w:tab/>
      </w:r>
      <w:r w:rsidR="00A63438" w:rsidRPr="00BC00CC">
        <w:rPr>
          <w:rFonts w:asciiTheme="minorHAnsi" w:hAnsiTheme="minorHAnsi" w:cstheme="minorHAnsi"/>
          <w:sz w:val="24"/>
          <w:szCs w:val="24"/>
          <w:lang w:val="hr-HR"/>
        </w:rPr>
        <w:tab/>
      </w:r>
      <w:r w:rsidR="00A63438" w:rsidRPr="00BC00CC">
        <w:rPr>
          <w:rFonts w:asciiTheme="minorHAnsi" w:hAnsiTheme="minorHAnsi" w:cstheme="minorHAnsi"/>
          <w:sz w:val="24"/>
          <w:szCs w:val="24"/>
          <w:lang w:val="hr-HR"/>
        </w:rPr>
        <w:tab/>
      </w:r>
      <w:r w:rsidR="00A63438" w:rsidRPr="00BC00CC">
        <w:rPr>
          <w:rFonts w:asciiTheme="minorHAnsi" w:hAnsiTheme="minorHAnsi" w:cstheme="minorHAnsi"/>
          <w:sz w:val="24"/>
          <w:szCs w:val="24"/>
          <w:lang w:val="hr-HR"/>
        </w:rPr>
        <w:tab/>
      </w:r>
      <w:r w:rsidR="00A63438" w:rsidRPr="00BC00CC">
        <w:rPr>
          <w:rFonts w:asciiTheme="minorHAnsi" w:hAnsiTheme="minorHAnsi" w:cstheme="minorHAnsi"/>
          <w:sz w:val="24"/>
          <w:szCs w:val="24"/>
          <w:lang w:val="hr-HR"/>
        </w:rPr>
        <w:tab/>
      </w:r>
      <w:r w:rsidR="00A63438" w:rsidRPr="00BC00CC">
        <w:rPr>
          <w:rFonts w:asciiTheme="minorHAnsi" w:hAnsiTheme="minorHAnsi" w:cstheme="minorHAnsi"/>
          <w:sz w:val="24"/>
          <w:szCs w:val="24"/>
          <w:lang w:val="hr-HR"/>
        </w:rPr>
        <w:tab/>
      </w:r>
      <w:r w:rsidR="00A63438" w:rsidRPr="00BC00CC">
        <w:rPr>
          <w:rFonts w:asciiTheme="minorHAnsi" w:hAnsiTheme="minorHAnsi" w:cstheme="minorHAnsi"/>
          <w:sz w:val="24"/>
          <w:szCs w:val="24"/>
          <w:lang w:val="hr-HR"/>
        </w:rPr>
        <w:tab/>
      </w:r>
      <w:r w:rsidR="00A63438">
        <w:rPr>
          <w:lang w:val="hr-HR"/>
        </w:rPr>
        <w:tab/>
      </w:r>
    </w:p>
    <w:sectPr w:rsidR="00315132" w:rsidRPr="006070A7" w:rsidSect="002B3AD8">
      <w:footerReference w:type="first" r:id="rId8"/>
      <w:pgSz w:w="11906" w:h="16838"/>
      <w:pgMar w:top="1134" w:right="851" w:bottom="1276" w:left="1276"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91D" w:rsidRDefault="0097691D">
      <w:r>
        <w:separator/>
      </w:r>
    </w:p>
  </w:endnote>
  <w:endnote w:type="continuationSeparator" w:id="1">
    <w:p w:rsidR="0097691D" w:rsidRDefault="009769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RHelvetica">
    <w:altName w:val="Times New Roman"/>
    <w:charset w:val="00"/>
    <w:family w:val="auto"/>
    <w:pitch w:val="variable"/>
    <w:sig w:usb0="00000003" w:usb1="00000000" w:usb2="00000000" w:usb3="00000000" w:csb0="00000001" w:csb1="00000000"/>
  </w:font>
  <w:font w:name="HR-Arial">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UniversalMath1 BT">
    <w:altName w:val="Symbol"/>
    <w:panose1 w:val="05050102010205020602"/>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87" w:rsidRDefault="00960987">
    <w:pPr>
      <w:pStyle w:val="Footer"/>
      <w:numPr>
        <w:ilvl w:val="0"/>
        <w:numId w:val="0"/>
      </w:numPr>
      <w:ind w:left="425"/>
    </w:pPr>
    <w:r>
      <w:rPr>
        <w:rStyle w:val="PageNumber"/>
      </w:rPr>
      <w:tab/>
    </w:r>
    <w:r>
      <w:rPr>
        <w:rStyle w:val="PageNumber"/>
      </w:rPr>
      <w:tab/>
    </w:r>
    <w:r>
      <w:rPr>
        <w:rStyle w:val="PageNumber"/>
      </w:rPr>
      <w:tab/>
    </w:r>
    <w:r>
      <w:rPr>
        <w:rStyle w:val="PageNumber"/>
      </w:rPr>
      <w:tab/>
    </w:r>
    <w:r w:rsidR="00D15348">
      <w:rPr>
        <w:rStyle w:val="PageNumber"/>
      </w:rPr>
      <w:fldChar w:fldCharType="begin"/>
    </w:r>
    <w:r>
      <w:rPr>
        <w:rStyle w:val="PageNumber"/>
      </w:rPr>
      <w:instrText xml:space="preserve"> PAGE </w:instrText>
    </w:r>
    <w:r w:rsidR="00D15348">
      <w:rPr>
        <w:rStyle w:val="PageNumber"/>
      </w:rPr>
      <w:fldChar w:fldCharType="separate"/>
    </w:r>
    <w:r w:rsidR="002D7296">
      <w:rPr>
        <w:rStyle w:val="PageNumber"/>
        <w:noProof/>
      </w:rPr>
      <w:t>1</w:t>
    </w:r>
    <w:r w:rsidR="00D1534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91D" w:rsidRDefault="0097691D">
      <w:r>
        <w:separator/>
      </w:r>
    </w:p>
  </w:footnote>
  <w:footnote w:type="continuationSeparator" w:id="1">
    <w:p w:rsidR="0097691D" w:rsidRDefault="00976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F83DCB"/>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5BB0E71"/>
    <w:multiLevelType w:val="singleLevel"/>
    <w:tmpl w:val="7DE8BB18"/>
    <w:lvl w:ilvl="0">
      <w:start w:val="1"/>
      <w:numFmt w:val="lowerLetter"/>
      <w:lvlText w:val="%1)"/>
      <w:legacy w:legacy="1" w:legacySpace="0" w:legacyIndent="360"/>
      <w:lvlJc w:val="left"/>
      <w:pPr>
        <w:ind w:left="786" w:hanging="360"/>
      </w:pPr>
    </w:lvl>
  </w:abstractNum>
  <w:abstractNum w:abstractNumId="3">
    <w:nsid w:val="17024AF8"/>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4">
    <w:nsid w:val="1E2B1DCA"/>
    <w:multiLevelType w:val="multilevel"/>
    <w:tmpl w:val="C54A51F0"/>
    <w:lvl w:ilvl="0">
      <w:start w:val="1"/>
      <w:numFmt w:val="upperRoman"/>
      <w:lvlText w:val="%1."/>
      <w:lvlJc w:val="left"/>
      <w:pPr>
        <w:tabs>
          <w:tab w:val="num" w:pos="720"/>
        </w:tabs>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502CD0"/>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6">
    <w:nsid w:val="221E197D"/>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7">
    <w:nsid w:val="22722FBA"/>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8">
    <w:nsid w:val="23DA166C"/>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9">
    <w:nsid w:val="2781335C"/>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10">
    <w:nsid w:val="356802CA"/>
    <w:multiLevelType w:val="multilevel"/>
    <w:tmpl w:val="BB0C658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5E5C8E"/>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12">
    <w:nsid w:val="3C7D5ABB"/>
    <w:multiLevelType w:val="hybridMultilevel"/>
    <w:tmpl w:val="03042E10"/>
    <w:lvl w:ilvl="0" w:tplc="4CE694DA">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14"/>
        </w:tabs>
        <w:ind w:left="1014" w:hanging="360"/>
      </w:pPr>
      <w:rPr>
        <w:rFonts w:ascii="Courier New" w:hAnsi="Courier New" w:cs="Courier New" w:hint="default"/>
      </w:rPr>
    </w:lvl>
    <w:lvl w:ilvl="2" w:tplc="041A0005" w:tentative="1">
      <w:start w:val="1"/>
      <w:numFmt w:val="bullet"/>
      <w:lvlText w:val=""/>
      <w:lvlJc w:val="left"/>
      <w:pPr>
        <w:tabs>
          <w:tab w:val="num" w:pos="1734"/>
        </w:tabs>
        <w:ind w:left="1734" w:hanging="360"/>
      </w:pPr>
      <w:rPr>
        <w:rFonts w:ascii="Wingdings" w:hAnsi="Wingdings" w:hint="default"/>
      </w:rPr>
    </w:lvl>
    <w:lvl w:ilvl="3" w:tplc="041A0001" w:tentative="1">
      <w:start w:val="1"/>
      <w:numFmt w:val="bullet"/>
      <w:lvlText w:val=""/>
      <w:lvlJc w:val="left"/>
      <w:pPr>
        <w:tabs>
          <w:tab w:val="num" w:pos="2454"/>
        </w:tabs>
        <w:ind w:left="2454" w:hanging="360"/>
      </w:pPr>
      <w:rPr>
        <w:rFonts w:ascii="Symbol" w:hAnsi="Symbol" w:hint="default"/>
      </w:rPr>
    </w:lvl>
    <w:lvl w:ilvl="4" w:tplc="041A0003" w:tentative="1">
      <w:start w:val="1"/>
      <w:numFmt w:val="bullet"/>
      <w:lvlText w:val="o"/>
      <w:lvlJc w:val="left"/>
      <w:pPr>
        <w:tabs>
          <w:tab w:val="num" w:pos="3174"/>
        </w:tabs>
        <w:ind w:left="3174" w:hanging="360"/>
      </w:pPr>
      <w:rPr>
        <w:rFonts w:ascii="Courier New" w:hAnsi="Courier New" w:cs="Courier New" w:hint="default"/>
      </w:rPr>
    </w:lvl>
    <w:lvl w:ilvl="5" w:tplc="041A0005" w:tentative="1">
      <w:start w:val="1"/>
      <w:numFmt w:val="bullet"/>
      <w:lvlText w:val=""/>
      <w:lvlJc w:val="left"/>
      <w:pPr>
        <w:tabs>
          <w:tab w:val="num" w:pos="3894"/>
        </w:tabs>
        <w:ind w:left="3894" w:hanging="360"/>
      </w:pPr>
      <w:rPr>
        <w:rFonts w:ascii="Wingdings" w:hAnsi="Wingdings" w:hint="default"/>
      </w:rPr>
    </w:lvl>
    <w:lvl w:ilvl="6" w:tplc="041A0001" w:tentative="1">
      <w:start w:val="1"/>
      <w:numFmt w:val="bullet"/>
      <w:lvlText w:val=""/>
      <w:lvlJc w:val="left"/>
      <w:pPr>
        <w:tabs>
          <w:tab w:val="num" w:pos="4614"/>
        </w:tabs>
        <w:ind w:left="4614" w:hanging="360"/>
      </w:pPr>
      <w:rPr>
        <w:rFonts w:ascii="Symbol" w:hAnsi="Symbol" w:hint="default"/>
      </w:rPr>
    </w:lvl>
    <w:lvl w:ilvl="7" w:tplc="041A0003" w:tentative="1">
      <w:start w:val="1"/>
      <w:numFmt w:val="bullet"/>
      <w:lvlText w:val="o"/>
      <w:lvlJc w:val="left"/>
      <w:pPr>
        <w:tabs>
          <w:tab w:val="num" w:pos="5334"/>
        </w:tabs>
        <w:ind w:left="5334" w:hanging="360"/>
      </w:pPr>
      <w:rPr>
        <w:rFonts w:ascii="Courier New" w:hAnsi="Courier New" w:cs="Courier New" w:hint="default"/>
      </w:rPr>
    </w:lvl>
    <w:lvl w:ilvl="8" w:tplc="041A0005" w:tentative="1">
      <w:start w:val="1"/>
      <w:numFmt w:val="bullet"/>
      <w:lvlText w:val=""/>
      <w:lvlJc w:val="left"/>
      <w:pPr>
        <w:tabs>
          <w:tab w:val="num" w:pos="6054"/>
        </w:tabs>
        <w:ind w:left="6054" w:hanging="360"/>
      </w:pPr>
      <w:rPr>
        <w:rFonts w:ascii="Wingdings" w:hAnsi="Wingdings" w:hint="default"/>
      </w:rPr>
    </w:lvl>
  </w:abstractNum>
  <w:abstractNum w:abstractNumId="13">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8A72BD"/>
    <w:multiLevelType w:val="multilevel"/>
    <w:tmpl w:val="7E748BC4"/>
    <w:lvl w:ilvl="0">
      <w:start w:val="1"/>
      <w:numFmt w:val="ordinal"/>
      <w:lvlText w:val="%1"/>
      <w:lvlJc w:val="left"/>
      <w:pPr>
        <w:tabs>
          <w:tab w:val="num" w:pos="454"/>
        </w:tabs>
        <w:ind w:left="454" w:hanging="454"/>
      </w:pPr>
      <w:rPr>
        <w:rFonts w:ascii="Times New Roman" w:hAnsi="Times New Roman"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4547B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40C518EC"/>
    <w:multiLevelType w:val="hybridMultilevel"/>
    <w:tmpl w:val="A62092D2"/>
    <w:lvl w:ilvl="0" w:tplc="3E2ED4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8B6450"/>
    <w:multiLevelType w:val="singleLevel"/>
    <w:tmpl w:val="2258D104"/>
    <w:lvl w:ilvl="0">
      <w:start w:val="2"/>
      <w:numFmt w:val="upperRoman"/>
      <w:lvlText w:val="%1."/>
      <w:lvlJc w:val="left"/>
      <w:pPr>
        <w:tabs>
          <w:tab w:val="num" w:pos="720"/>
        </w:tabs>
        <w:ind w:left="720" w:hanging="720"/>
      </w:pPr>
    </w:lvl>
  </w:abstractNum>
  <w:abstractNum w:abstractNumId="18">
    <w:nsid w:val="4E165A2B"/>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19">
    <w:nsid w:val="4F135056"/>
    <w:multiLevelType w:val="singleLevel"/>
    <w:tmpl w:val="703E81AE"/>
    <w:lvl w:ilvl="0">
      <w:start w:val="1"/>
      <w:numFmt w:val="bullet"/>
      <w:pStyle w:val="Normal"/>
      <w:lvlText w:val=""/>
      <w:lvlJc w:val="left"/>
      <w:pPr>
        <w:tabs>
          <w:tab w:val="num" w:pos="785"/>
        </w:tabs>
        <w:ind w:left="709" w:hanging="284"/>
      </w:pPr>
      <w:rPr>
        <w:rFonts w:ascii="Wingdings" w:hAnsi="Wingdings" w:hint="default"/>
        <w:sz w:val="10"/>
      </w:rPr>
    </w:lvl>
  </w:abstractNum>
  <w:abstractNum w:abstractNumId="20">
    <w:nsid w:val="526F27AF"/>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1">
    <w:nsid w:val="57982C7B"/>
    <w:multiLevelType w:val="singleLevel"/>
    <w:tmpl w:val="60D89628"/>
    <w:lvl w:ilvl="0">
      <w:start w:val="3"/>
      <w:numFmt w:val="upperLetter"/>
      <w:lvlText w:val="%1)"/>
      <w:lvlJc w:val="left"/>
      <w:pPr>
        <w:tabs>
          <w:tab w:val="num" w:pos="540"/>
        </w:tabs>
        <w:ind w:left="540" w:hanging="540"/>
      </w:pPr>
      <w:rPr>
        <w:rFonts w:hint="default"/>
      </w:rPr>
    </w:lvl>
  </w:abstractNum>
  <w:abstractNum w:abstractNumId="22">
    <w:nsid w:val="5ADE3800"/>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3">
    <w:nsid w:val="5B522418"/>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4">
    <w:nsid w:val="5D0C67F2"/>
    <w:multiLevelType w:val="singleLevel"/>
    <w:tmpl w:val="16B2F1A0"/>
    <w:lvl w:ilvl="0">
      <w:start w:val="1"/>
      <w:numFmt w:val="decimal"/>
      <w:lvlText w:val="%1."/>
      <w:lvlJc w:val="left"/>
      <w:pPr>
        <w:tabs>
          <w:tab w:val="num" w:pos="360"/>
        </w:tabs>
        <w:ind w:left="360" w:hanging="360"/>
      </w:pPr>
      <w:rPr>
        <w:rFonts w:hint="default"/>
      </w:rPr>
    </w:lvl>
  </w:abstractNum>
  <w:abstractNum w:abstractNumId="25">
    <w:nsid w:val="6236029F"/>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6">
    <w:nsid w:val="63E47541"/>
    <w:multiLevelType w:val="singleLevel"/>
    <w:tmpl w:val="FCD05F50"/>
    <w:lvl w:ilvl="0">
      <w:numFmt w:val="bullet"/>
      <w:lvlText w:val="-"/>
      <w:lvlJc w:val="left"/>
      <w:pPr>
        <w:tabs>
          <w:tab w:val="num" w:pos="1495"/>
        </w:tabs>
        <w:ind w:left="1495" w:hanging="360"/>
      </w:pPr>
      <w:rPr>
        <w:rFonts w:ascii="Times New Roman" w:hAnsi="Times New Roman" w:hint="default"/>
      </w:rPr>
    </w:lvl>
  </w:abstractNum>
  <w:abstractNum w:abstractNumId="27">
    <w:nsid w:val="649F67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nsid w:val="699A10CF"/>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9">
    <w:nsid w:val="6C2E027B"/>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30">
    <w:nsid w:val="6EDD6967"/>
    <w:multiLevelType w:val="singleLevel"/>
    <w:tmpl w:val="AEC67992"/>
    <w:lvl w:ilvl="0">
      <w:start w:val="3"/>
      <w:numFmt w:val="bullet"/>
      <w:lvlText w:val="-"/>
      <w:lvlJc w:val="left"/>
      <w:pPr>
        <w:tabs>
          <w:tab w:val="num" w:pos="921"/>
        </w:tabs>
        <w:ind w:left="921" w:hanging="360"/>
      </w:pPr>
      <w:rPr>
        <w:rFonts w:hint="default"/>
      </w:rPr>
    </w:lvl>
  </w:abstractNum>
  <w:abstractNum w:abstractNumId="31">
    <w:nsid w:val="6F351C8F"/>
    <w:multiLevelType w:val="multilevel"/>
    <w:tmpl w:val="41FEFAEA"/>
    <w:lvl w:ilvl="0">
      <w:start w:val="1"/>
      <w:numFmt w:val="bullet"/>
      <w:pStyle w:val="nabrajanjeskockicamasuvlakom"/>
      <w:lvlText w:val=""/>
      <w:lvlJc w:val="left"/>
      <w:pPr>
        <w:tabs>
          <w:tab w:val="num" w:pos="454"/>
        </w:tabs>
        <w:ind w:left="454"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33">
    <w:nsid w:val="758E158D"/>
    <w:multiLevelType w:val="singleLevel"/>
    <w:tmpl w:val="FCD05F50"/>
    <w:lvl w:ilvl="0">
      <w:start w:val="4"/>
      <w:numFmt w:val="bullet"/>
      <w:lvlText w:val="-"/>
      <w:lvlJc w:val="left"/>
      <w:pPr>
        <w:tabs>
          <w:tab w:val="num" w:pos="360"/>
        </w:tabs>
        <w:ind w:left="360" w:hanging="360"/>
      </w:pPr>
      <w:rPr>
        <w:rFonts w:ascii="Times New Roman" w:hAnsi="Times New Roman" w:hint="default"/>
      </w:rPr>
    </w:lvl>
  </w:abstractNum>
  <w:abstractNum w:abstractNumId="34">
    <w:nsid w:val="7FD67A9E"/>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num w:numId="1">
    <w:abstractNumId w:val="31"/>
  </w:num>
  <w:num w:numId="2">
    <w:abstractNumId w:val="14"/>
  </w:num>
  <w:num w:numId="3">
    <w:abstractNumId w:val="10"/>
  </w:num>
  <w:num w:numId="4">
    <w:abstractNumId w:val="19"/>
  </w:num>
  <w:num w:numId="5">
    <w:abstractNumId w:val="9"/>
  </w:num>
  <w:num w:numId="6">
    <w:abstractNumId w:val="20"/>
  </w:num>
  <w:num w:numId="7">
    <w:abstractNumId w:val="6"/>
  </w:num>
  <w:num w:numId="8">
    <w:abstractNumId w:val="3"/>
  </w:num>
  <w:num w:numId="9">
    <w:abstractNumId w:val="22"/>
  </w:num>
  <w:num w:numId="10">
    <w:abstractNumId w:val="7"/>
  </w:num>
  <w:num w:numId="11">
    <w:abstractNumId w:val="5"/>
  </w:num>
  <w:num w:numId="12">
    <w:abstractNumId w:val="29"/>
  </w:num>
  <w:num w:numId="13">
    <w:abstractNumId w:val="23"/>
  </w:num>
  <w:num w:numId="14">
    <w:abstractNumId w:val="28"/>
  </w:num>
  <w:num w:numId="15">
    <w:abstractNumId w:val="8"/>
  </w:num>
  <w:num w:numId="16">
    <w:abstractNumId w:val="25"/>
  </w:num>
  <w:num w:numId="17">
    <w:abstractNumId w:val="11"/>
  </w:num>
  <w:num w:numId="18">
    <w:abstractNumId w:val="27"/>
  </w:num>
  <w:num w:numId="19">
    <w:abstractNumId w:val="15"/>
  </w:num>
  <w:num w:numId="20">
    <w:abstractNumId w:val="34"/>
  </w:num>
  <w:num w:numId="21">
    <w:abstractNumId w:val="2"/>
  </w:num>
  <w:num w:numId="22">
    <w:abstractNumId w:val="1"/>
  </w:num>
  <w:num w:numId="23">
    <w:abstractNumId w:val="18"/>
  </w:num>
  <w:num w:numId="24">
    <w:abstractNumId w:val="26"/>
  </w:num>
  <w:num w:numId="25">
    <w:abstractNumId w:val="4"/>
  </w:num>
  <w:num w:numId="26">
    <w:abstractNumId w:val="21"/>
  </w:num>
  <w:num w:numId="27">
    <w:abstractNumId w:val="24"/>
  </w:num>
  <w:num w:numId="28">
    <w:abstractNumId w:val="33"/>
  </w:num>
  <w:num w:numId="29">
    <w:abstractNumId w:val="17"/>
  </w:num>
  <w:num w:numId="30">
    <w:abstractNumId w:val="32"/>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2"/>
  </w:num>
  <w:num w:numId="34">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8" w:dllVersion="513" w:checkStyle="1"/>
  <w:activeWritingStyle w:appName="MSWord" w:lang="en-US" w:vendorID="8" w:dllVersion="513" w:checkStyle="1"/>
  <w:activeWritingStyle w:appName="MSWord" w:lang="it-IT" w:vendorID="3" w:dllVersion="517" w:checkStyle="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A7B12"/>
    <w:rsid w:val="00014F5A"/>
    <w:rsid w:val="000A2E3D"/>
    <w:rsid w:val="000A356F"/>
    <w:rsid w:val="000C702E"/>
    <w:rsid w:val="000E32B1"/>
    <w:rsid w:val="000E5ADA"/>
    <w:rsid w:val="000F22DF"/>
    <w:rsid w:val="000F6381"/>
    <w:rsid w:val="00133D1D"/>
    <w:rsid w:val="00137D20"/>
    <w:rsid w:val="0014577A"/>
    <w:rsid w:val="0015420B"/>
    <w:rsid w:val="00160E7F"/>
    <w:rsid w:val="001739AB"/>
    <w:rsid w:val="00192DE5"/>
    <w:rsid w:val="001A3124"/>
    <w:rsid w:val="001A74AE"/>
    <w:rsid w:val="001D35AD"/>
    <w:rsid w:val="001D6A62"/>
    <w:rsid w:val="001F10EB"/>
    <w:rsid w:val="001F763E"/>
    <w:rsid w:val="00207370"/>
    <w:rsid w:val="00241E2A"/>
    <w:rsid w:val="00261001"/>
    <w:rsid w:val="00273882"/>
    <w:rsid w:val="0029081E"/>
    <w:rsid w:val="002966EE"/>
    <w:rsid w:val="002B03F4"/>
    <w:rsid w:val="002B18C1"/>
    <w:rsid w:val="002B3AD8"/>
    <w:rsid w:val="002D072A"/>
    <w:rsid w:val="002D2EBF"/>
    <w:rsid w:val="002D479A"/>
    <w:rsid w:val="002D7296"/>
    <w:rsid w:val="00315132"/>
    <w:rsid w:val="00317FDB"/>
    <w:rsid w:val="00322D67"/>
    <w:rsid w:val="00324C82"/>
    <w:rsid w:val="00326CD6"/>
    <w:rsid w:val="0038307D"/>
    <w:rsid w:val="003A40A8"/>
    <w:rsid w:val="003C2E46"/>
    <w:rsid w:val="003C3C0C"/>
    <w:rsid w:val="003F368E"/>
    <w:rsid w:val="003F678A"/>
    <w:rsid w:val="0045163A"/>
    <w:rsid w:val="00467BAF"/>
    <w:rsid w:val="00481F41"/>
    <w:rsid w:val="004C2F49"/>
    <w:rsid w:val="004D0059"/>
    <w:rsid w:val="004D6A6C"/>
    <w:rsid w:val="004E1775"/>
    <w:rsid w:val="004E521C"/>
    <w:rsid w:val="0050067E"/>
    <w:rsid w:val="0051496B"/>
    <w:rsid w:val="005162EA"/>
    <w:rsid w:val="005508C5"/>
    <w:rsid w:val="005549BC"/>
    <w:rsid w:val="005657D2"/>
    <w:rsid w:val="00571F6F"/>
    <w:rsid w:val="005854C1"/>
    <w:rsid w:val="00595231"/>
    <w:rsid w:val="005C696F"/>
    <w:rsid w:val="0060705C"/>
    <w:rsid w:val="006070A7"/>
    <w:rsid w:val="006074E3"/>
    <w:rsid w:val="00631E98"/>
    <w:rsid w:val="006353FF"/>
    <w:rsid w:val="0065461B"/>
    <w:rsid w:val="0068086C"/>
    <w:rsid w:val="00683A19"/>
    <w:rsid w:val="006A35D3"/>
    <w:rsid w:val="00723624"/>
    <w:rsid w:val="0073740C"/>
    <w:rsid w:val="00767F84"/>
    <w:rsid w:val="007972A7"/>
    <w:rsid w:val="007A1002"/>
    <w:rsid w:val="007A13F1"/>
    <w:rsid w:val="0088421F"/>
    <w:rsid w:val="00897FC8"/>
    <w:rsid w:val="008E0074"/>
    <w:rsid w:val="008F5EAE"/>
    <w:rsid w:val="009378F9"/>
    <w:rsid w:val="00960987"/>
    <w:rsid w:val="00961766"/>
    <w:rsid w:val="00975DB4"/>
    <w:rsid w:val="0097691D"/>
    <w:rsid w:val="009B67AE"/>
    <w:rsid w:val="009D05D9"/>
    <w:rsid w:val="009D5B75"/>
    <w:rsid w:val="009E3421"/>
    <w:rsid w:val="00A01D59"/>
    <w:rsid w:val="00A34A66"/>
    <w:rsid w:val="00A35D38"/>
    <w:rsid w:val="00A62B84"/>
    <w:rsid w:val="00A63438"/>
    <w:rsid w:val="00A76031"/>
    <w:rsid w:val="00A77572"/>
    <w:rsid w:val="00A87072"/>
    <w:rsid w:val="00A96CC1"/>
    <w:rsid w:val="00AB2DEE"/>
    <w:rsid w:val="00AB42D6"/>
    <w:rsid w:val="00AB660A"/>
    <w:rsid w:val="00B012C7"/>
    <w:rsid w:val="00B10B96"/>
    <w:rsid w:val="00B27EA4"/>
    <w:rsid w:val="00B30D4E"/>
    <w:rsid w:val="00B36977"/>
    <w:rsid w:val="00B47244"/>
    <w:rsid w:val="00B52D86"/>
    <w:rsid w:val="00BA7B12"/>
    <w:rsid w:val="00BC00CC"/>
    <w:rsid w:val="00BE6C66"/>
    <w:rsid w:val="00C026EB"/>
    <w:rsid w:val="00C111A9"/>
    <w:rsid w:val="00C332E3"/>
    <w:rsid w:val="00C4023E"/>
    <w:rsid w:val="00C53938"/>
    <w:rsid w:val="00C94688"/>
    <w:rsid w:val="00D00D33"/>
    <w:rsid w:val="00D15348"/>
    <w:rsid w:val="00D433BE"/>
    <w:rsid w:val="00D528CF"/>
    <w:rsid w:val="00D5713A"/>
    <w:rsid w:val="00D628DB"/>
    <w:rsid w:val="00D71E9C"/>
    <w:rsid w:val="00D77416"/>
    <w:rsid w:val="00D8398D"/>
    <w:rsid w:val="00D977B7"/>
    <w:rsid w:val="00DA6937"/>
    <w:rsid w:val="00DB7021"/>
    <w:rsid w:val="00DD2014"/>
    <w:rsid w:val="00DF004C"/>
    <w:rsid w:val="00E362A2"/>
    <w:rsid w:val="00E47B16"/>
    <w:rsid w:val="00E81CCF"/>
    <w:rsid w:val="00EA5891"/>
    <w:rsid w:val="00EB6E1A"/>
    <w:rsid w:val="00EC1AE7"/>
    <w:rsid w:val="00EC1B84"/>
    <w:rsid w:val="00EC4B13"/>
    <w:rsid w:val="00EC5FA4"/>
    <w:rsid w:val="00ED0D16"/>
    <w:rsid w:val="00EE4FCB"/>
    <w:rsid w:val="00F43A26"/>
    <w:rsid w:val="00F81ACB"/>
    <w:rsid w:val="00F837FA"/>
    <w:rsid w:val="00FA353E"/>
    <w:rsid w:val="00FE667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D8"/>
    <w:pPr>
      <w:numPr>
        <w:numId w:val="4"/>
      </w:numPr>
    </w:pPr>
    <w:rPr>
      <w:lang w:val="en-GB" w:eastAsia="en-US"/>
    </w:rPr>
  </w:style>
  <w:style w:type="paragraph" w:styleId="Heading1">
    <w:name w:val="heading 1"/>
    <w:basedOn w:val="Normal"/>
    <w:next w:val="Normal"/>
    <w:qFormat/>
    <w:rsid w:val="002B3AD8"/>
    <w:pPr>
      <w:keepNext/>
      <w:spacing w:line="288" w:lineRule="auto"/>
      <w:outlineLvl w:val="0"/>
    </w:pPr>
    <w:rPr>
      <w:rFonts w:ascii="Arial" w:hAnsi="Arial"/>
      <w:b/>
      <w:sz w:val="22"/>
      <w:lang w:val="hr-HR"/>
    </w:rPr>
  </w:style>
  <w:style w:type="paragraph" w:styleId="Heading2">
    <w:name w:val="heading 2"/>
    <w:basedOn w:val="Normal"/>
    <w:next w:val="Normal"/>
    <w:qFormat/>
    <w:rsid w:val="002B3AD8"/>
    <w:pPr>
      <w:keepNext/>
      <w:numPr>
        <w:ilvl w:val="12"/>
        <w:numId w:val="0"/>
      </w:numPr>
      <w:spacing w:line="288" w:lineRule="auto"/>
      <w:outlineLvl w:val="1"/>
    </w:pPr>
    <w:rPr>
      <w:rFonts w:ascii="Arial" w:hAnsi="Arial"/>
      <w:b/>
      <w:sz w:val="22"/>
    </w:rPr>
  </w:style>
  <w:style w:type="paragraph" w:styleId="Heading3">
    <w:name w:val="heading 3"/>
    <w:basedOn w:val="Normal"/>
    <w:next w:val="Normal"/>
    <w:qFormat/>
    <w:rsid w:val="002B3AD8"/>
    <w:pPr>
      <w:keepNext/>
      <w:numPr>
        <w:numId w:val="0"/>
      </w:numPr>
      <w:outlineLvl w:val="2"/>
    </w:pPr>
    <w:rPr>
      <w:rFonts w:ascii="Arial" w:hAnsi="Arial"/>
      <w:b/>
      <w:color w:val="000000"/>
      <w:sz w:val="22"/>
      <w:lang w:val="hr-HR"/>
    </w:rPr>
  </w:style>
  <w:style w:type="paragraph" w:styleId="Heading4">
    <w:name w:val="heading 4"/>
    <w:basedOn w:val="Normal"/>
    <w:next w:val="Normal"/>
    <w:qFormat/>
    <w:rsid w:val="002B3AD8"/>
    <w:pPr>
      <w:keepNext/>
      <w:numPr>
        <w:numId w:val="0"/>
      </w:numPr>
      <w:tabs>
        <w:tab w:val="left" w:pos="0"/>
      </w:tabs>
      <w:spacing w:after="120"/>
      <w:jc w:val="both"/>
      <w:outlineLvl w:val="3"/>
    </w:pPr>
    <w:rPr>
      <w:rFonts w:ascii="Arial" w:hAnsi="Arial"/>
      <w:b/>
      <w:sz w:val="22"/>
      <w:lang w:val="en-US"/>
    </w:rPr>
  </w:style>
  <w:style w:type="paragraph" w:styleId="Heading5">
    <w:name w:val="heading 5"/>
    <w:basedOn w:val="Normal"/>
    <w:next w:val="Normal"/>
    <w:qFormat/>
    <w:rsid w:val="002B3AD8"/>
    <w:pPr>
      <w:keepNext/>
      <w:numPr>
        <w:numId w:val="0"/>
      </w:numPr>
      <w:outlineLvl w:val="4"/>
    </w:pPr>
    <w:rPr>
      <w:rFonts w:ascii="Arial" w:hAnsi="Arial"/>
      <w:b/>
      <w:color w:val="000000"/>
      <w:lang w:val="hr-HR"/>
    </w:rPr>
  </w:style>
  <w:style w:type="paragraph" w:styleId="Heading8">
    <w:name w:val="heading 8"/>
    <w:basedOn w:val="Normal"/>
    <w:next w:val="Normal"/>
    <w:qFormat/>
    <w:rsid w:val="002B3AD8"/>
    <w:pPr>
      <w:numPr>
        <w:numId w:val="0"/>
      </w:numPr>
      <w:spacing w:before="240" w:after="60"/>
      <w:outlineLvl w:val="7"/>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Web1">
    <w:name w:val="Standard (Web)1"/>
    <w:basedOn w:val="Normal"/>
    <w:rsid w:val="002B3AD8"/>
    <w:pPr>
      <w:spacing w:before="100" w:after="100"/>
    </w:pPr>
    <w:rPr>
      <w:sz w:val="24"/>
      <w:lang w:val="hr-HR"/>
    </w:rPr>
  </w:style>
  <w:style w:type="paragraph" w:customStyle="1" w:styleId="janja">
    <w:name w:val="janja"/>
    <w:basedOn w:val="Normal"/>
    <w:rsid w:val="002B3AD8"/>
    <w:pPr>
      <w:numPr>
        <w:numId w:val="0"/>
      </w:numPr>
    </w:pPr>
    <w:rPr>
      <w:rFonts w:ascii="Arial" w:hAnsi="Arial"/>
      <w:sz w:val="22"/>
    </w:rPr>
  </w:style>
  <w:style w:type="paragraph" w:styleId="CommentText">
    <w:name w:val="annotation text"/>
    <w:basedOn w:val="Normal"/>
    <w:semiHidden/>
    <w:rsid w:val="002B3AD8"/>
    <w:pPr>
      <w:tabs>
        <w:tab w:val="left" w:pos="284"/>
      </w:tabs>
      <w:jc w:val="both"/>
    </w:pPr>
    <w:rPr>
      <w:rFonts w:ascii="Arial" w:hAnsi="Arial"/>
      <w:lang w:val="en-US"/>
    </w:rPr>
  </w:style>
  <w:style w:type="paragraph" w:styleId="Header">
    <w:name w:val="header"/>
    <w:basedOn w:val="Normal"/>
    <w:link w:val="HeaderChar"/>
    <w:uiPriority w:val="99"/>
    <w:rsid w:val="002B3AD8"/>
    <w:pPr>
      <w:widowControl w:val="0"/>
      <w:tabs>
        <w:tab w:val="center" w:pos="4252"/>
        <w:tab w:val="right" w:pos="8504"/>
      </w:tabs>
      <w:ind w:right="96"/>
      <w:jc w:val="both"/>
    </w:pPr>
    <w:rPr>
      <w:rFonts w:ascii="HRHelvetica" w:hAnsi="HRHelvetica"/>
      <w:snapToGrid w:val="0"/>
      <w:sz w:val="22"/>
      <w:lang w:val="en-AU"/>
    </w:rPr>
  </w:style>
  <w:style w:type="paragraph" w:customStyle="1" w:styleId="nabrajanjeskockicamasuvlakom">
    <w:name w:val="nabrajanje s kockicama s uvlakom"/>
    <w:basedOn w:val="Normal"/>
    <w:rsid w:val="002B3AD8"/>
    <w:pPr>
      <w:numPr>
        <w:numId w:val="1"/>
      </w:numPr>
      <w:jc w:val="both"/>
    </w:pPr>
    <w:rPr>
      <w:lang w:val="hr-HR"/>
    </w:rPr>
  </w:style>
  <w:style w:type="paragraph" w:customStyle="1" w:styleId="tijeloteksta">
    <w:name w:val="tijelo teksta"/>
    <w:basedOn w:val="Normal"/>
    <w:rsid w:val="002B3AD8"/>
    <w:pPr>
      <w:ind w:firstLine="284"/>
      <w:jc w:val="both"/>
    </w:pPr>
    <w:rPr>
      <w:lang w:val="hr-HR"/>
    </w:rPr>
  </w:style>
  <w:style w:type="paragraph" w:customStyle="1" w:styleId="naslovodluke">
    <w:name w:val="naslov odluke"/>
    <w:basedOn w:val="BodyTextIndent"/>
    <w:rsid w:val="002B3AD8"/>
    <w:pPr>
      <w:numPr>
        <w:ilvl w:val="12"/>
        <w:numId w:val="0"/>
      </w:numPr>
      <w:spacing w:after="0"/>
      <w:jc w:val="center"/>
    </w:pPr>
    <w:rPr>
      <w:b/>
      <w:lang w:val="hr-HR"/>
    </w:rPr>
  </w:style>
  <w:style w:type="paragraph" w:styleId="BodyTextIndent">
    <w:name w:val="Body Text Indent"/>
    <w:basedOn w:val="Normal"/>
    <w:semiHidden/>
    <w:rsid w:val="002B3AD8"/>
    <w:pPr>
      <w:spacing w:after="120"/>
      <w:ind w:left="283"/>
    </w:pPr>
  </w:style>
  <w:style w:type="paragraph" w:customStyle="1" w:styleId="nabrajanjebold1">
    <w:name w:val="nabrajanje bold 1."/>
    <w:basedOn w:val="Normal"/>
    <w:rsid w:val="002B3AD8"/>
    <w:pPr>
      <w:numPr>
        <w:numId w:val="0"/>
      </w:numPr>
      <w:tabs>
        <w:tab w:val="num" w:pos="454"/>
      </w:tabs>
      <w:ind w:left="454" w:hanging="454"/>
    </w:pPr>
    <w:rPr>
      <w:b/>
      <w:lang w:val="hr-HR"/>
    </w:rPr>
  </w:style>
  <w:style w:type="paragraph" w:customStyle="1" w:styleId="Nabraj2">
    <w:name w:val="Nabraj2"/>
    <w:basedOn w:val="Normal"/>
    <w:rsid w:val="002B3AD8"/>
    <w:pPr>
      <w:tabs>
        <w:tab w:val="left" w:pos="425"/>
        <w:tab w:val="left" w:pos="709"/>
      </w:tabs>
      <w:jc w:val="both"/>
    </w:pPr>
    <w:rPr>
      <w:rFonts w:ascii="Arial" w:hAnsi="Arial"/>
      <w:sz w:val="22"/>
      <w:lang w:val="hr-HR"/>
    </w:rPr>
  </w:style>
  <w:style w:type="paragraph" w:customStyle="1" w:styleId="Normal-">
    <w:name w:val="Normal -"/>
    <w:basedOn w:val="Normal"/>
    <w:autoRedefine/>
    <w:rsid w:val="002B3AD8"/>
    <w:pPr>
      <w:widowControl w:val="0"/>
      <w:numPr>
        <w:numId w:val="0"/>
      </w:numPr>
      <w:tabs>
        <w:tab w:val="num" w:pos="720"/>
      </w:tabs>
      <w:spacing w:before="120"/>
      <w:ind w:left="720" w:hanging="360"/>
      <w:jc w:val="both"/>
    </w:pPr>
    <w:rPr>
      <w:rFonts w:ascii="Arial" w:hAnsi="Arial"/>
      <w:color w:val="FF0000"/>
      <w:sz w:val="22"/>
      <w:lang w:val="hr-HR"/>
    </w:rPr>
  </w:style>
  <w:style w:type="paragraph" w:customStyle="1" w:styleId="Noind">
    <w:name w:val="Noind"/>
    <w:basedOn w:val="Normal"/>
    <w:rsid w:val="002B3AD8"/>
    <w:pPr>
      <w:tabs>
        <w:tab w:val="left" w:pos="284"/>
      </w:tabs>
      <w:jc w:val="both"/>
    </w:pPr>
    <w:rPr>
      <w:rFonts w:ascii="Arial" w:hAnsi="Arial"/>
      <w:sz w:val="22"/>
      <w:lang w:val="en-US"/>
    </w:rPr>
  </w:style>
  <w:style w:type="paragraph" w:styleId="BodyText">
    <w:name w:val="Body Text"/>
    <w:basedOn w:val="Normal"/>
    <w:link w:val="BodyTextChar"/>
    <w:rsid w:val="002B3AD8"/>
    <w:pPr>
      <w:numPr>
        <w:numId w:val="0"/>
      </w:numPr>
      <w:tabs>
        <w:tab w:val="left" w:pos="284"/>
      </w:tabs>
      <w:spacing w:before="120" w:after="120"/>
    </w:pPr>
    <w:rPr>
      <w:rFonts w:ascii="HR-Arial" w:hAnsi="HR-Arial"/>
      <w:sz w:val="24"/>
      <w:lang w:val="en-US"/>
    </w:rPr>
  </w:style>
  <w:style w:type="paragraph" w:styleId="BodyText2">
    <w:name w:val="Body Text 2"/>
    <w:basedOn w:val="Normal"/>
    <w:semiHidden/>
    <w:rsid w:val="002B3AD8"/>
    <w:pPr>
      <w:spacing w:line="288" w:lineRule="auto"/>
    </w:pPr>
    <w:rPr>
      <w:rFonts w:ascii="Arial" w:hAnsi="Arial"/>
      <w:color w:val="FF0000"/>
      <w:sz w:val="22"/>
      <w:lang w:val="it-IT"/>
    </w:rPr>
  </w:style>
  <w:style w:type="paragraph" w:styleId="Caption">
    <w:name w:val="caption"/>
    <w:basedOn w:val="Normal"/>
    <w:next w:val="Normal"/>
    <w:qFormat/>
    <w:rsid w:val="002B3AD8"/>
    <w:pPr>
      <w:numPr>
        <w:numId w:val="0"/>
      </w:numPr>
      <w:jc w:val="center"/>
    </w:pPr>
    <w:rPr>
      <w:rFonts w:ascii="Arial" w:hAnsi="Arial"/>
      <w:b/>
      <w:sz w:val="24"/>
      <w:lang w:val="hr-HR"/>
    </w:rPr>
  </w:style>
  <w:style w:type="paragraph" w:styleId="BodyText3">
    <w:name w:val="Body Text 3"/>
    <w:basedOn w:val="Normal"/>
    <w:semiHidden/>
    <w:rsid w:val="002B3AD8"/>
    <w:pPr>
      <w:numPr>
        <w:numId w:val="0"/>
      </w:numPr>
      <w:spacing w:line="288" w:lineRule="auto"/>
    </w:pPr>
    <w:rPr>
      <w:rFonts w:ascii="Arial" w:hAnsi="Arial"/>
      <w:color w:val="FF00FF"/>
      <w:spacing w:val="-4"/>
      <w:sz w:val="22"/>
      <w:lang w:val="it-IT"/>
    </w:rPr>
  </w:style>
  <w:style w:type="paragraph" w:styleId="Footer">
    <w:name w:val="footer"/>
    <w:basedOn w:val="Normal"/>
    <w:semiHidden/>
    <w:rsid w:val="002B3AD8"/>
    <w:pPr>
      <w:tabs>
        <w:tab w:val="clear" w:pos="785"/>
        <w:tab w:val="center" w:pos="4153"/>
        <w:tab w:val="right" w:pos="8306"/>
      </w:tabs>
    </w:pPr>
  </w:style>
  <w:style w:type="character" w:styleId="PageNumber">
    <w:name w:val="page number"/>
    <w:basedOn w:val="DefaultParagraphFont"/>
    <w:semiHidden/>
    <w:rsid w:val="002B3AD8"/>
  </w:style>
  <w:style w:type="paragraph" w:styleId="NoSpacing">
    <w:name w:val="No Spacing"/>
    <w:uiPriority w:val="1"/>
    <w:qFormat/>
    <w:rsid w:val="00B012C7"/>
    <w:rPr>
      <w:rFonts w:ascii="Calibri" w:hAnsi="Calibri"/>
      <w:sz w:val="22"/>
      <w:szCs w:val="22"/>
      <w:lang w:eastAsia="zh-CN"/>
    </w:rPr>
  </w:style>
  <w:style w:type="character" w:customStyle="1" w:styleId="BodyTextChar">
    <w:name w:val="Body Text Char"/>
    <w:basedOn w:val="DefaultParagraphFont"/>
    <w:link w:val="BodyText"/>
    <w:uiPriority w:val="99"/>
    <w:rsid w:val="00D71E9C"/>
    <w:rPr>
      <w:rFonts w:ascii="HR-Arial" w:hAnsi="HR-Arial"/>
      <w:sz w:val="24"/>
      <w:lang w:val="en-US" w:eastAsia="en-US"/>
    </w:rPr>
  </w:style>
  <w:style w:type="character" w:customStyle="1" w:styleId="HeaderChar">
    <w:name w:val="Header Char"/>
    <w:basedOn w:val="DefaultParagraphFont"/>
    <w:link w:val="Header"/>
    <w:uiPriority w:val="99"/>
    <w:rsid w:val="00C332E3"/>
    <w:rPr>
      <w:rFonts w:ascii="HRHelvetica" w:hAnsi="HRHelvetica"/>
      <w:snapToGrid w:val="0"/>
      <w:sz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D8"/>
    <w:pPr>
      <w:numPr>
        <w:numId w:val="4"/>
      </w:numPr>
    </w:pPr>
    <w:rPr>
      <w:lang w:val="en-GB" w:eastAsia="en-US"/>
    </w:rPr>
  </w:style>
  <w:style w:type="paragraph" w:styleId="Naslov1">
    <w:name w:val="heading 1"/>
    <w:basedOn w:val="Normal"/>
    <w:next w:val="Normal"/>
    <w:qFormat/>
    <w:rsid w:val="002B3AD8"/>
    <w:pPr>
      <w:keepNext/>
      <w:spacing w:line="288" w:lineRule="auto"/>
      <w:outlineLvl w:val="0"/>
    </w:pPr>
    <w:rPr>
      <w:rFonts w:ascii="Arial" w:hAnsi="Arial"/>
      <w:b/>
      <w:sz w:val="22"/>
      <w:lang w:val="hr-HR"/>
    </w:rPr>
  </w:style>
  <w:style w:type="paragraph" w:styleId="Naslov2">
    <w:name w:val="heading 2"/>
    <w:basedOn w:val="Normal"/>
    <w:next w:val="Normal"/>
    <w:qFormat/>
    <w:rsid w:val="002B3AD8"/>
    <w:pPr>
      <w:keepNext/>
      <w:numPr>
        <w:ilvl w:val="12"/>
        <w:numId w:val="0"/>
      </w:numPr>
      <w:spacing w:line="288" w:lineRule="auto"/>
      <w:outlineLvl w:val="1"/>
    </w:pPr>
    <w:rPr>
      <w:rFonts w:ascii="Arial" w:hAnsi="Arial"/>
      <w:b/>
      <w:sz w:val="22"/>
    </w:rPr>
  </w:style>
  <w:style w:type="paragraph" w:styleId="Naslov3">
    <w:name w:val="heading 3"/>
    <w:basedOn w:val="Normal"/>
    <w:next w:val="Normal"/>
    <w:qFormat/>
    <w:rsid w:val="002B3AD8"/>
    <w:pPr>
      <w:keepNext/>
      <w:numPr>
        <w:numId w:val="0"/>
      </w:numPr>
      <w:outlineLvl w:val="2"/>
    </w:pPr>
    <w:rPr>
      <w:rFonts w:ascii="Arial" w:hAnsi="Arial"/>
      <w:b/>
      <w:color w:val="000000"/>
      <w:sz w:val="22"/>
      <w:lang w:val="hr-HR"/>
    </w:rPr>
  </w:style>
  <w:style w:type="paragraph" w:styleId="Naslov4">
    <w:name w:val="heading 4"/>
    <w:basedOn w:val="Normal"/>
    <w:next w:val="Normal"/>
    <w:qFormat/>
    <w:rsid w:val="002B3AD8"/>
    <w:pPr>
      <w:keepNext/>
      <w:numPr>
        <w:numId w:val="0"/>
      </w:numPr>
      <w:tabs>
        <w:tab w:val="left" w:pos="0"/>
      </w:tabs>
      <w:spacing w:after="120"/>
      <w:jc w:val="both"/>
      <w:outlineLvl w:val="3"/>
    </w:pPr>
    <w:rPr>
      <w:rFonts w:ascii="Arial" w:hAnsi="Arial"/>
      <w:b/>
      <w:sz w:val="22"/>
      <w:lang w:val="en-US"/>
    </w:rPr>
  </w:style>
  <w:style w:type="paragraph" w:styleId="Naslov5">
    <w:name w:val="heading 5"/>
    <w:basedOn w:val="Normal"/>
    <w:next w:val="Normal"/>
    <w:qFormat/>
    <w:rsid w:val="002B3AD8"/>
    <w:pPr>
      <w:keepNext/>
      <w:numPr>
        <w:numId w:val="0"/>
      </w:numPr>
      <w:outlineLvl w:val="4"/>
    </w:pPr>
    <w:rPr>
      <w:rFonts w:ascii="Arial" w:hAnsi="Arial"/>
      <w:b/>
      <w:color w:val="000000"/>
      <w:lang w:val="hr-HR"/>
    </w:rPr>
  </w:style>
  <w:style w:type="paragraph" w:styleId="Naslov8">
    <w:name w:val="heading 8"/>
    <w:basedOn w:val="Normal"/>
    <w:next w:val="Normal"/>
    <w:qFormat/>
    <w:rsid w:val="002B3AD8"/>
    <w:pPr>
      <w:numPr>
        <w:numId w:val="0"/>
      </w:numPr>
      <w:spacing w:before="240" w:after="60"/>
      <w:outlineLvl w:val="7"/>
    </w:pPr>
    <w:rPr>
      <w:i/>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Web1">
    <w:name w:val="Standard (Web)1"/>
    <w:basedOn w:val="Normal"/>
    <w:rsid w:val="002B3AD8"/>
    <w:pPr>
      <w:spacing w:before="100" w:after="100"/>
    </w:pPr>
    <w:rPr>
      <w:sz w:val="24"/>
      <w:lang w:val="hr-HR"/>
    </w:rPr>
  </w:style>
  <w:style w:type="paragraph" w:customStyle="1" w:styleId="janja">
    <w:name w:val="janja"/>
    <w:basedOn w:val="Normal"/>
    <w:rsid w:val="002B3AD8"/>
    <w:pPr>
      <w:numPr>
        <w:numId w:val="0"/>
      </w:numPr>
    </w:pPr>
    <w:rPr>
      <w:rFonts w:ascii="Arial" w:hAnsi="Arial"/>
      <w:sz w:val="22"/>
    </w:rPr>
  </w:style>
  <w:style w:type="paragraph" w:styleId="Tekstkomentara">
    <w:name w:val="annotation text"/>
    <w:basedOn w:val="Normal"/>
    <w:semiHidden/>
    <w:rsid w:val="002B3AD8"/>
    <w:pPr>
      <w:tabs>
        <w:tab w:val="left" w:pos="284"/>
      </w:tabs>
      <w:jc w:val="both"/>
    </w:pPr>
    <w:rPr>
      <w:rFonts w:ascii="Arial" w:hAnsi="Arial"/>
      <w:lang w:val="en-US"/>
    </w:rPr>
  </w:style>
  <w:style w:type="paragraph" w:styleId="Zaglavlje">
    <w:name w:val="header"/>
    <w:basedOn w:val="Normal"/>
    <w:link w:val="ZaglavljeChar"/>
    <w:uiPriority w:val="99"/>
    <w:rsid w:val="002B3AD8"/>
    <w:pPr>
      <w:widowControl w:val="0"/>
      <w:tabs>
        <w:tab w:val="center" w:pos="4252"/>
        <w:tab w:val="right" w:pos="8504"/>
      </w:tabs>
      <w:ind w:right="96"/>
      <w:jc w:val="both"/>
    </w:pPr>
    <w:rPr>
      <w:rFonts w:ascii="HRHelvetica" w:hAnsi="HRHelvetica"/>
      <w:snapToGrid w:val="0"/>
      <w:sz w:val="22"/>
      <w:lang w:val="en-AU"/>
    </w:rPr>
  </w:style>
  <w:style w:type="paragraph" w:customStyle="1" w:styleId="nabrajanjeskockicamasuvlakom">
    <w:name w:val="nabrajanje s kockicama s uvlakom"/>
    <w:basedOn w:val="Normal"/>
    <w:rsid w:val="002B3AD8"/>
    <w:pPr>
      <w:numPr>
        <w:numId w:val="1"/>
      </w:numPr>
      <w:jc w:val="both"/>
    </w:pPr>
    <w:rPr>
      <w:lang w:val="hr-HR"/>
    </w:rPr>
  </w:style>
  <w:style w:type="paragraph" w:customStyle="1" w:styleId="tijeloteksta">
    <w:name w:val="tijelo teksta"/>
    <w:basedOn w:val="Normal"/>
    <w:rsid w:val="002B3AD8"/>
    <w:pPr>
      <w:ind w:firstLine="284"/>
      <w:jc w:val="both"/>
    </w:pPr>
    <w:rPr>
      <w:lang w:val="hr-HR"/>
    </w:rPr>
  </w:style>
  <w:style w:type="paragraph" w:customStyle="1" w:styleId="naslovodluke">
    <w:name w:val="naslov odluke"/>
    <w:basedOn w:val="Uvuenotijeloteksta"/>
    <w:rsid w:val="002B3AD8"/>
    <w:pPr>
      <w:numPr>
        <w:ilvl w:val="12"/>
        <w:numId w:val="0"/>
      </w:numPr>
      <w:spacing w:after="0"/>
      <w:jc w:val="center"/>
    </w:pPr>
    <w:rPr>
      <w:b/>
      <w:lang w:val="hr-HR"/>
    </w:rPr>
  </w:style>
  <w:style w:type="paragraph" w:styleId="Uvuenotijeloteksta">
    <w:name w:val="Body Text Indent"/>
    <w:basedOn w:val="Normal"/>
    <w:semiHidden/>
    <w:rsid w:val="002B3AD8"/>
    <w:pPr>
      <w:spacing w:after="120"/>
      <w:ind w:left="283"/>
    </w:pPr>
  </w:style>
  <w:style w:type="paragraph" w:customStyle="1" w:styleId="nabrajanjebold1">
    <w:name w:val="nabrajanje bold 1."/>
    <w:basedOn w:val="Normal"/>
    <w:rsid w:val="002B3AD8"/>
    <w:pPr>
      <w:numPr>
        <w:numId w:val="0"/>
      </w:numPr>
      <w:tabs>
        <w:tab w:val="num" w:pos="454"/>
      </w:tabs>
      <w:ind w:left="454" w:hanging="454"/>
    </w:pPr>
    <w:rPr>
      <w:b/>
      <w:lang w:val="hr-HR"/>
    </w:rPr>
  </w:style>
  <w:style w:type="paragraph" w:customStyle="1" w:styleId="Nabraj2">
    <w:name w:val="Nabraj2"/>
    <w:basedOn w:val="Normal"/>
    <w:rsid w:val="002B3AD8"/>
    <w:pPr>
      <w:tabs>
        <w:tab w:val="left" w:pos="425"/>
        <w:tab w:val="left" w:pos="709"/>
      </w:tabs>
      <w:jc w:val="both"/>
    </w:pPr>
    <w:rPr>
      <w:rFonts w:ascii="Arial" w:hAnsi="Arial"/>
      <w:sz w:val="22"/>
      <w:lang w:val="hr-HR"/>
    </w:rPr>
  </w:style>
  <w:style w:type="paragraph" w:customStyle="1" w:styleId="Normal-">
    <w:name w:val="Normal -"/>
    <w:basedOn w:val="Normal"/>
    <w:autoRedefine/>
    <w:rsid w:val="002B3AD8"/>
    <w:pPr>
      <w:widowControl w:val="0"/>
      <w:numPr>
        <w:numId w:val="0"/>
      </w:numPr>
      <w:tabs>
        <w:tab w:val="num" w:pos="720"/>
      </w:tabs>
      <w:spacing w:before="120"/>
      <w:ind w:left="720" w:hanging="360"/>
      <w:jc w:val="both"/>
    </w:pPr>
    <w:rPr>
      <w:rFonts w:ascii="Arial" w:hAnsi="Arial"/>
      <w:color w:val="FF0000"/>
      <w:sz w:val="22"/>
      <w:lang w:val="hr-HR"/>
    </w:rPr>
  </w:style>
  <w:style w:type="paragraph" w:customStyle="1" w:styleId="Noind">
    <w:name w:val="Noind"/>
    <w:basedOn w:val="Normal"/>
    <w:rsid w:val="002B3AD8"/>
    <w:pPr>
      <w:tabs>
        <w:tab w:val="left" w:pos="284"/>
      </w:tabs>
      <w:jc w:val="both"/>
    </w:pPr>
    <w:rPr>
      <w:rFonts w:ascii="Arial" w:hAnsi="Arial"/>
      <w:sz w:val="22"/>
      <w:lang w:val="en-US"/>
    </w:rPr>
  </w:style>
  <w:style w:type="paragraph" w:styleId="Tijeloteksta0">
    <w:name w:val="Body Text"/>
    <w:basedOn w:val="Normal"/>
    <w:link w:val="TijelotekstaChar"/>
    <w:rsid w:val="002B3AD8"/>
    <w:pPr>
      <w:numPr>
        <w:numId w:val="0"/>
      </w:numPr>
      <w:tabs>
        <w:tab w:val="left" w:pos="284"/>
      </w:tabs>
      <w:spacing w:before="120" w:after="120"/>
    </w:pPr>
    <w:rPr>
      <w:rFonts w:ascii="HR-Arial" w:hAnsi="HR-Arial"/>
      <w:sz w:val="24"/>
      <w:lang w:val="en-US"/>
    </w:rPr>
  </w:style>
  <w:style w:type="paragraph" w:styleId="Tijeloteksta2">
    <w:name w:val="Body Text 2"/>
    <w:basedOn w:val="Normal"/>
    <w:semiHidden/>
    <w:rsid w:val="002B3AD8"/>
    <w:pPr>
      <w:spacing w:line="288" w:lineRule="auto"/>
    </w:pPr>
    <w:rPr>
      <w:rFonts w:ascii="Arial" w:hAnsi="Arial"/>
      <w:color w:val="FF0000"/>
      <w:sz w:val="22"/>
      <w:lang w:val="it-IT"/>
    </w:rPr>
  </w:style>
  <w:style w:type="paragraph" w:styleId="Opisslike">
    <w:name w:val="caption"/>
    <w:basedOn w:val="Normal"/>
    <w:next w:val="Normal"/>
    <w:qFormat/>
    <w:rsid w:val="002B3AD8"/>
    <w:pPr>
      <w:numPr>
        <w:numId w:val="0"/>
      </w:numPr>
      <w:jc w:val="center"/>
    </w:pPr>
    <w:rPr>
      <w:rFonts w:ascii="Arial" w:hAnsi="Arial"/>
      <w:b/>
      <w:sz w:val="24"/>
      <w:lang w:val="hr-HR"/>
    </w:rPr>
  </w:style>
  <w:style w:type="paragraph" w:styleId="Tijeloteksta3">
    <w:name w:val="Body Text 3"/>
    <w:basedOn w:val="Normal"/>
    <w:semiHidden/>
    <w:rsid w:val="002B3AD8"/>
    <w:pPr>
      <w:numPr>
        <w:numId w:val="0"/>
      </w:numPr>
      <w:spacing w:line="288" w:lineRule="auto"/>
    </w:pPr>
    <w:rPr>
      <w:rFonts w:ascii="Arial" w:hAnsi="Arial"/>
      <w:color w:val="FF00FF"/>
      <w:spacing w:val="-4"/>
      <w:sz w:val="22"/>
      <w:lang w:val="it-IT"/>
    </w:rPr>
  </w:style>
  <w:style w:type="paragraph" w:styleId="Podnoje">
    <w:name w:val="footer"/>
    <w:basedOn w:val="Normal"/>
    <w:semiHidden/>
    <w:rsid w:val="002B3AD8"/>
    <w:pPr>
      <w:tabs>
        <w:tab w:val="clear" w:pos="785"/>
        <w:tab w:val="center" w:pos="4153"/>
        <w:tab w:val="right" w:pos="8306"/>
      </w:tabs>
    </w:pPr>
  </w:style>
  <w:style w:type="character" w:styleId="Brojstranice">
    <w:name w:val="page number"/>
    <w:basedOn w:val="Zadanifontodlomka"/>
    <w:semiHidden/>
    <w:rsid w:val="002B3AD8"/>
  </w:style>
  <w:style w:type="paragraph" w:styleId="Bezproreda">
    <w:name w:val="No Spacing"/>
    <w:uiPriority w:val="1"/>
    <w:qFormat/>
    <w:rsid w:val="00B012C7"/>
    <w:rPr>
      <w:rFonts w:ascii="Calibri" w:hAnsi="Calibri"/>
      <w:sz w:val="22"/>
      <w:szCs w:val="22"/>
      <w:lang w:eastAsia="zh-CN"/>
    </w:rPr>
  </w:style>
  <w:style w:type="character" w:customStyle="1" w:styleId="TijelotekstaChar">
    <w:name w:val="Tijelo teksta Char"/>
    <w:basedOn w:val="Zadanifontodlomka"/>
    <w:link w:val="Tijeloteksta0"/>
    <w:uiPriority w:val="99"/>
    <w:rsid w:val="00D71E9C"/>
    <w:rPr>
      <w:rFonts w:ascii="HR-Arial" w:hAnsi="HR-Arial"/>
      <w:sz w:val="24"/>
      <w:lang w:val="en-US" w:eastAsia="en-US"/>
    </w:rPr>
  </w:style>
  <w:style w:type="character" w:customStyle="1" w:styleId="ZaglavljeChar">
    <w:name w:val="Zaglavlje Char"/>
    <w:basedOn w:val="Zadanifontodlomka"/>
    <w:link w:val="Zaglavlje"/>
    <w:uiPriority w:val="99"/>
    <w:rsid w:val="00C332E3"/>
    <w:rPr>
      <w:rFonts w:ascii="HRHelvetica" w:hAnsi="HRHelvetica"/>
      <w:snapToGrid w:val="0"/>
      <w:sz w:val="22"/>
      <w:lang w:val="en-A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7ECC-6585-4BF3-8F61-E0707BAC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7116</Words>
  <Characters>40566</Characters>
  <Application>Microsoft Office Word</Application>
  <DocSecurity>0</DocSecurity>
  <Lines>338</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 OBRAZLOŽENJE</vt:lpstr>
      <vt:lpstr>I OBRAZLOŽENJE</vt:lpstr>
    </vt:vector>
  </TitlesOfParts>
  <Company>jhgkjh</Company>
  <LinksUpToDate>false</LinksUpToDate>
  <CharactersWithSpaces>47587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OBRAZLOŽENJE</dc:title>
  <dc:creator>jhgkjhg</dc:creator>
  <cp:lastModifiedBy>Nikola Popic</cp:lastModifiedBy>
  <cp:revision>4</cp:revision>
  <cp:lastPrinted>2020-01-21T13:33:00Z</cp:lastPrinted>
  <dcterms:created xsi:type="dcterms:W3CDTF">2020-03-20T07:25:00Z</dcterms:created>
  <dcterms:modified xsi:type="dcterms:W3CDTF">2020-05-13T12:15:00Z</dcterms:modified>
</cp:coreProperties>
</file>